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4B188" w14:textId="7DA9C519" w:rsidR="001F0676" w:rsidRPr="00864866" w:rsidRDefault="001F0676" w:rsidP="000B66BC">
      <w:pPr>
        <w:spacing w:after="240"/>
        <w:jc w:val="center"/>
        <w:rPr>
          <w:rFonts w:ascii="Times New Roman" w:hAnsi="Times New Roman"/>
          <w:sz w:val="24"/>
          <w:szCs w:val="24"/>
        </w:rPr>
      </w:pPr>
    </w:p>
    <w:p w14:paraId="6E4B8B64" w14:textId="77777777" w:rsidR="00BB7DB0" w:rsidRPr="00864866" w:rsidRDefault="00BB7DB0" w:rsidP="000B66BC">
      <w:pPr>
        <w:spacing w:after="240"/>
        <w:jc w:val="center"/>
        <w:rPr>
          <w:rFonts w:ascii="Times New Roman" w:hAnsi="Times New Roman"/>
          <w:sz w:val="24"/>
          <w:szCs w:val="24"/>
        </w:rPr>
      </w:pPr>
    </w:p>
    <w:p w14:paraId="764E2AE3" w14:textId="77777777" w:rsidR="00D0488C" w:rsidRDefault="00D0488C" w:rsidP="00D0488C">
      <w:pPr>
        <w:jc w:val="center"/>
        <w:rPr>
          <w:rFonts w:ascii="Times New Roman" w:hAnsi="Times New Roman"/>
          <w:color w:val="auto"/>
          <w:sz w:val="24"/>
        </w:rPr>
      </w:pPr>
      <w:r>
        <w:rPr>
          <w:rFonts w:ascii="Times New Roman" w:hAnsi="Times New Roman"/>
          <w:sz w:val="24"/>
        </w:rPr>
        <w:t>SV</w:t>
      </w:r>
    </w:p>
    <w:p w14:paraId="2FD0301D" w14:textId="77777777" w:rsidR="00D0488C" w:rsidRDefault="00D0488C" w:rsidP="00D0488C">
      <w:pPr>
        <w:rPr>
          <w:rFonts w:asciiTheme="minorHAnsi" w:hAnsiTheme="minorHAnsi"/>
          <w:sz w:val="22"/>
        </w:rPr>
      </w:pPr>
    </w:p>
    <w:p w14:paraId="632F6520" w14:textId="77777777" w:rsidR="001807E9" w:rsidRPr="00864866" w:rsidRDefault="001807E9" w:rsidP="000B66BC">
      <w:pPr>
        <w:spacing w:after="240"/>
        <w:jc w:val="center"/>
        <w:rPr>
          <w:rFonts w:ascii="Times New Roman" w:hAnsi="Times New Roman"/>
          <w:sz w:val="24"/>
          <w:szCs w:val="24"/>
        </w:rPr>
      </w:pPr>
    </w:p>
    <w:p w14:paraId="2C4768C0" w14:textId="77777777" w:rsidR="00A15D28" w:rsidRPr="000B66BC" w:rsidRDefault="00A15D28" w:rsidP="000B66BC">
      <w:pPr>
        <w:spacing w:after="240"/>
        <w:jc w:val="center"/>
        <w:rPr>
          <w:rFonts w:ascii="Times New Roman" w:hAnsi="Times New Roman"/>
          <w:sz w:val="24"/>
          <w:szCs w:val="24"/>
        </w:rPr>
      </w:pPr>
      <w:r>
        <w:rPr>
          <w:rFonts w:ascii="Times New Roman" w:hAnsi="Times New Roman"/>
          <w:sz w:val="24"/>
        </w:rPr>
        <w:t>BILAGA XI</w:t>
      </w:r>
    </w:p>
    <w:p w14:paraId="4A8A4559" w14:textId="0A064FD8" w:rsidR="00A15D28" w:rsidRPr="000B66BC" w:rsidRDefault="00A84D67" w:rsidP="000B66BC">
      <w:pPr>
        <w:spacing w:after="240"/>
        <w:jc w:val="center"/>
        <w:rPr>
          <w:rFonts w:ascii="Times New Roman" w:hAnsi="Times New Roman"/>
          <w:sz w:val="24"/>
          <w:szCs w:val="24"/>
        </w:rPr>
      </w:pPr>
      <w:r>
        <w:rPr>
          <w:rFonts w:ascii="Times New Roman" w:hAnsi="Times New Roman"/>
          <w:b/>
          <w:sz w:val="24"/>
        </w:rPr>
        <w:t>INSTRUKTIONER FÖR RAPPORTERING OM BRUTTOSOLIDITET</w:t>
      </w:r>
    </w:p>
    <w:p w14:paraId="359338A1" w14:textId="77777777" w:rsidR="00F4754B" w:rsidRPr="000B66BC" w:rsidRDefault="00F4754B" w:rsidP="000B66BC">
      <w:pPr>
        <w:pStyle w:val="BodyText1"/>
        <w:spacing w:after="240"/>
        <w:rPr>
          <w:rFonts w:ascii="Times New Roman" w:hAnsi="Times New Roman"/>
          <w:sz w:val="24"/>
          <w:szCs w:val="24"/>
        </w:rPr>
      </w:pPr>
    </w:p>
    <w:p w14:paraId="6BF05566" w14:textId="77777777" w:rsidR="00A15D28" w:rsidRPr="000B66BC" w:rsidRDefault="00A15D28" w:rsidP="000B66BC">
      <w:pPr>
        <w:pStyle w:val="BodyText1"/>
        <w:spacing w:after="240"/>
        <w:rPr>
          <w:rFonts w:ascii="Times New Roman" w:hAnsi="Times New Roman"/>
          <w:sz w:val="24"/>
          <w:szCs w:val="24"/>
        </w:rPr>
      </w:pPr>
    </w:p>
    <w:p w14:paraId="7E090CE2" w14:textId="77777777" w:rsidR="00F4754B" w:rsidRPr="000B66BC" w:rsidRDefault="00F4754B" w:rsidP="000B66BC">
      <w:pPr>
        <w:pStyle w:val="BodyText1"/>
        <w:spacing w:after="240"/>
        <w:rPr>
          <w:rFonts w:ascii="Times New Roman" w:hAnsi="Times New Roman"/>
          <w:sz w:val="24"/>
          <w:szCs w:val="24"/>
        </w:rPr>
      </w:pPr>
    </w:p>
    <w:p w14:paraId="3C402A6B" w14:textId="77777777" w:rsidR="009112BB" w:rsidRPr="000B66BC" w:rsidRDefault="009112BB" w:rsidP="000B66BC">
      <w:pPr>
        <w:pStyle w:val="BodyText1"/>
        <w:spacing w:after="240"/>
        <w:ind w:left="720"/>
        <w:rPr>
          <w:rFonts w:ascii="Times New Roman" w:hAnsi="Times New Roman"/>
          <w:sz w:val="24"/>
          <w:szCs w:val="24"/>
        </w:rPr>
      </w:pPr>
    </w:p>
    <w:p w14:paraId="2F64AB1D" w14:textId="1BD21049" w:rsidR="00487FE2" w:rsidRDefault="00391EF9">
      <w:pPr>
        <w:pStyle w:val="TOC1"/>
        <w:rPr>
          <w:rFonts w:asciiTheme="minorHAnsi" w:eastAsiaTheme="minorEastAsia" w:hAnsiTheme="minorHAnsi" w:cstheme="minorBidi"/>
          <w:color w:val="auto"/>
          <w:kern w:val="2"/>
          <w:sz w:val="24"/>
          <w:szCs w:val="24"/>
          <w:lang w:eastAsia="sv-SE"/>
          <w14:ligatures w14:val="standardContextual"/>
        </w:rPr>
      </w:pPr>
      <w:r w:rsidRPr="000B66BC">
        <w:rPr>
          <w:rFonts w:ascii="Times New Roman" w:hAnsi="Times New Roman"/>
          <w:b/>
          <w:sz w:val="24"/>
        </w:rPr>
        <w:fldChar w:fldCharType="begin"/>
      </w:r>
      <w:r w:rsidR="00F4754B" w:rsidRPr="000B66BC">
        <w:rPr>
          <w:rFonts w:ascii="Times New Roman" w:hAnsi="Times New Roman"/>
          <w:b/>
          <w:sz w:val="24"/>
        </w:rPr>
        <w:instrText xml:space="preserve"> TOC \o "1-3" \h \z \u </w:instrText>
      </w:r>
      <w:r w:rsidRPr="000B66BC">
        <w:rPr>
          <w:rFonts w:ascii="Times New Roman" w:hAnsi="Times New Roman"/>
          <w:b/>
          <w:sz w:val="24"/>
        </w:rPr>
        <w:fldChar w:fldCharType="separate"/>
      </w:r>
      <w:hyperlink w:anchor="_Toc188450094" w:history="1">
        <w:r w:rsidR="00487FE2" w:rsidRPr="006F0892">
          <w:rPr>
            <w:rStyle w:val="Hyperlink"/>
            <w:rFonts w:ascii="Times New Roman" w:hAnsi="Times New Roman"/>
            <w:b/>
          </w:rPr>
          <w:t>DEL I: ALLMÄNNA INSTRUKTIONER</w:t>
        </w:r>
        <w:r w:rsidR="00487FE2">
          <w:rPr>
            <w:webHidden/>
          </w:rPr>
          <w:tab/>
        </w:r>
        <w:r w:rsidR="00487FE2">
          <w:rPr>
            <w:webHidden/>
          </w:rPr>
          <w:fldChar w:fldCharType="begin"/>
        </w:r>
        <w:r w:rsidR="00487FE2">
          <w:rPr>
            <w:webHidden/>
          </w:rPr>
          <w:instrText xml:space="preserve"> PAGEREF _Toc188450094 \h </w:instrText>
        </w:r>
        <w:r w:rsidR="00487FE2">
          <w:rPr>
            <w:webHidden/>
          </w:rPr>
        </w:r>
        <w:r w:rsidR="00487FE2">
          <w:rPr>
            <w:webHidden/>
          </w:rPr>
          <w:fldChar w:fldCharType="separate"/>
        </w:r>
        <w:r w:rsidR="00487FE2">
          <w:rPr>
            <w:webHidden/>
          </w:rPr>
          <w:t>2</w:t>
        </w:r>
        <w:r w:rsidR="00487FE2">
          <w:rPr>
            <w:webHidden/>
          </w:rPr>
          <w:fldChar w:fldCharType="end"/>
        </w:r>
      </w:hyperlink>
    </w:p>
    <w:p w14:paraId="440539EC" w14:textId="6880BCAB" w:rsidR="00487FE2" w:rsidRDefault="00487FE2">
      <w:pPr>
        <w:pStyle w:val="TOC2"/>
        <w:rPr>
          <w:rFonts w:asciiTheme="minorHAnsi" w:eastAsiaTheme="minorEastAsia" w:hAnsiTheme="minorHAnsi" w:cstheme="minorBidi"/>
          <w:b w:val="0"/>
          <w:smallCaps w:val="0"/>
          <w:kern w:val="2"/>
          <w:sz w:val="24"/>
          <w:szCs w:val="24"/>
          <w:lang w:eastAsia="sv-SE"/>
          <w14:ligatures w14:val="standardContextual"/>
        </w:rPr>
      </w:pPr>
      <w:hyperlink w:anchor="_Toc188450095" w:history="1">
        <w:r w:rsidRPr="006F0892">
          <w:rPr>
            <w:rStyle w:val="Hyperlink"/>
            <w:rFonts w:ascii="Times New Roman" w:hAnsi="Times New Roman"/>
          </w:rPr>
          <w:t>1.</w:t>
        </w:r>
        <w:r>
          <w:rPr>
            <w:rFonts w:asciiTheme="minorHAnsi" w:eastAsiaTheme="minorEastAsia" w:hAnsiTheme="minorHAnsi" w:cstheme="minorBidi"/>
            <w:b w:val="0"/>
            <w:smallCaps w:val="0"/>
            <w:kern w:val="2"/>
            <w:sz w:val="24"/>
            <w:szCs w:val="24"/>
            <w:lang w:eastAsia="sv-SE"/>
            <w14:ligatures w14:val="standardContextual"/>
          </w:rPr>
          <w:tab/>
        </w:r>
        <w:r w:rsidRPr="006F0892">
          <w:rPr>
            <w:rStyle w:val="Hyperlink"/>
            <w:rFonts w:ascii="Times New Roman" w:hAnsi="Times New Roman"/>
          </w:rPr>
          <w:t>Struktur och andra anvisningar</w:t>
        </w:r>
        <w:r>
          <w:rPr>
            <w:webHidden/>
          </w:rPr>
          <w:tab/>
        </w:r>
        <w:r>
          <w:rPr>
            <w:webHidden/>
          </w:rPr>
          <w:fldChar w:fldCharType="begin"/>
        </w:r>
        <w:r>
          <w:rPr>
            <w:webHidden/>
          </w:rPr>
          <w:instrText xml:space="preserve"> PAGEREF _Toc188450095 \h </w:instrText>
        </w:r>
        <w:r>
          <w:rPr>
            <w:webHidden/>
          </w:rPr>
        </w:r>
        <w:r>
          <w:rPr>
            <w:webHidden/>
          </w:rPr>
          <w:fldChar w:fldCharType="separate"/>
        </w:r>
        <w:r>
          <w:rPr>
            <w:webHidden/>
          </w:rPr>
          <w:t>2</w:t>
        </w:r>
        <w:r>
          <w:rPr>
            <w:webHidden/>
          </w:rPr>
          <w:fldChar w:fldCharType="end"/>
        </w:r>
      </w:hyperlink>
    </w:p>
    <w:p w14:paraId="178BEA07" w14:textId="0045BBE1" w:rsidR="00487FE2" w:rsidRDefault="00487FE2">
      <w:pPr>
        <w:pStyle w:val="TOC3"/>
        <w:rPr>
          <w:rFonts w:asciiTheme="minorHAnsi" w:eastAsiaTheme="minorEastAsia" w:hAnsiTheme="minorHAnsi" w:cstheme="minorBidi"/>
          <w:smallCaps w:val="0"/>
          <w:kern w:val="2"/>
          <w:sz w:val="24"/>
          <w:lang w:eastAsia="sv-SE"/>
          <w14:ligatures w14:val="standardContextual"/>
        </w:rPr>
      </w:pPr>
      <w:hyperlink w:anchor="_Toc188450096" w:history="1">
        <w:r w:rsidRPr="006F0892">
          <w:rPr>
            <w:rStyle w:val="Hyperlink"/>
            <w:rFonts w:ascii="Times New Roman" w:hAnsi="Times New Roman"/>
            <w:b/>
          </w:rPr>
          <w:t>1.1</w:t>
        </w:r>
        <w:r>
          <w:rPr>
            <w:rFonts w:asciiTheme="minorHAnsi" w:eastAsiaTheme="minorEastAsia" w:hAnsiTheme="minorHAnsi" w:cstheme="minorBidi"/>
            <w:smallCaps w:val="0"/>
            <w:kern w:val="2"/>
            <w:sz w:val="24"/>
            <w:lang w:eastAsia="sv-SE"/>
            <w14:ligatures w14:val="standardContextual"/>
          </w:rPr>
          <w:tab/>
        </w:r>
        <w:r w:rsidRPr="006F0892">
          <w:rPr>
            <w:rStyle w:val="Hyperlink"/>
            <w:rFonts w:ascii="Times New Roman" w:hAnsi="Times New Roman"/>
            <w:b/>
          </w:rPr>
          <w:t>Struktur</w:t>
        </w:r>
        <w:r>
          <w:rPr>
            <w:webHidden/>
          </w:rPr>
          <w:tab/>
        </w:r>
        <w:r>
          <w:rPr>
            <w:webHidden/>
          </w:rPr>
          <w:fldChar w:fldCharType="begin"/>
        </w:r>
        <w:r>
          <w:rPr>
            <w:webHidden/>
          </w:rPr>
          <w:instrText xml:space="preserve"> PAGEREF _Toc188450096 \h </w:instrText>
        </w:r>
        <w:r>
          <w:rPr>
            <w:webHidden/>
          </w:rPr>
        </w:r>
        <w:r>
          <w:rPr>
            <w:webHidden/>
          </w:rPr>
          <w:fldChar w:fldCharType="separate"/>
        </w:r>
        <w:r>
          <w:rPr>
            <w:webHidden/>
          </w:rPr>
          <w:t>2</w:t>
        </w:r>
        <w:r>
          <w:rPr>
            <w:webHidden/>
          </w:rPr>
          <w:fldChar w:fldCharType="end"/>
        </w:r>
      </w:hyperlink>
    </w:p>
    <w:p w14:paraId="6D9DD978" w14:textId="21F20C99" w:rsidR="00487FE2" w:rsidRDefault="00487FE2">
      <w:pPr>
        <w:pStyle w:val="TOC3"/>
        <w:rPr>
          <w:rFonts w:asciiTheme="minorHAnsi" w:eastAsiaTheme="minorEastAsia" w:hAnsiTheme="minorHAnsi" w:cstheme="minorBidi"/>
          <w:smallCaps w:val="0"/>
          <w:kern w:val="2"/>
          <w:sz w:val="24"/>
          <w:lang w:eastAsia="sv-SE"/>
          <w14:ligatures w14:val="standardContextual"/>
        </w:rPr>
      </w:pPr>
      <w:hyperlink w:anchor="_Toc188450097" w:history="1">
        <w:r w:rsidRPr="006F0892">
          <w:rPr>
            <w:rStyle w:val="Hyperlink"/>
            <w:rFonts w:ascii="Times New Roman" w:hAnsi="Times New Roman"/>
            <w:b/>
          </w:rPr>
          <w:t>1.2.</w:t>
        </w:r>
        <w:r>
          <w:rPr>
            <w:rFonts w:asciiTheme="minorHAnsi" w:eastAsiaTheme="minorEastAsia" w:hAnsiTheme="minorHAnsi" w:cstheme="minorBidi"/>
            <w:smallCaps w:val="0"/>
            <w:kern w:val="2"/>
            <w:sz w:val="24"/>
            <w:lang w:eastAsia="sv-SE"/>
            <w14:ligatures w14:val="standardContextual"/>
          </w:rPr>
          <w:tab/>
        </w:r>
        <w:r w:rsidRPr="006F0892">
          <w:rPr>
            <w:rStyle w:val="Hyperlink"/>
            <w:rFonts w:ascii="Times New Roman" w:hAnsi="Times New Roman"/>
            <w:b/>
          </w:rPr>
          <w:t>Numrering</w:t>
        </w:r>
        <w:r>
          <w:rPr>
            <w:webHidden/>
          </w:rPr>
          <w:tab/>
        </w:r>
        <w:r>
          <w:rPr>
            <w:webHidden/>
          </w:rPr>
          <w:fldChar w:fldCharType="begin"/>
        </w:r>
        <w:r>
          <w:rPr>
            <w:webHidden/>
          </w:rPr>
          <w:instrText xml:space="preserve"> PAGEREF _Toc188450097 \h </w:instrText>
        </w:r>
        <w:r>
          <w:rPr>
            <w:webHidden/>
          </w:rPr>
        </w:r>
        <w:r>
          <w:rPr>
            <w:webHidden/>
          </w:rPr>
          <w:fldChar w:fldCharType="separate"/>
        </w:r>
        <w:r>
          <w:rPr>
            <w:webHidden/>
          </w:rPr>
          <w:t>2</w:t>
        </w:r>
        <w:r>
          <w:rPr>
            <w:webHidden/>
          </w:rPr>
          <w:fldChar w:fldCharType="end"/>
        </w:r>
      </w:hyperlink>
    </w:p>
    <w:p w14:paraId="5BACC302" w14:textId="6F07147B" w:rsidR="00487FE2" w:rsidRDefault="00487FE2">
      <w:pPr>
        <w:pStyle w:val="TOC3"/>
        <w:rPr>
          <w:rFonts w:asciiTheme="minorHAnsi" w:eastAsiaTheme="minorEastAsia" w:hAnsiTheme="minorHAnsi" w:cstheme="minorBidi"/>
          <w:smallCaps w:val="0"/>
          <w:kern w:val="2"/>
          <w:sz w:val="24"/>
          <w:lang w:eastAsia="sv-SE"/>
          <w14:ligatures w14:val="standardContextual"/>
        </w:rPr>
      </w:pPr>
      <w:hyperlink w:anchor="_Toc188450098" w:history="1">
        <w:r w:rsidRPr="006F0892">
          <w:rPr>
            <w:rStyle w:val="Hyperlink"/>
            <w:rFonts w:ascii="Times New Roman" w:hAnsi="Times New Roman"/>
            <w:b/>
          </w:rPr>
          <w:t>1.3</w:t>
        </w:r>
        <w:r>
          <w:rPr>
            <w:rFonts w:asciiTheme="minorHAnsi" w:eastAsiaTheme="minorEastAsia" w:hAnsiTheme="minorHAnsi" w:cstheme="minorBidi"/>
            <w:smallCaps w:val="0"/>
            <w:kern w:val="2"/>
            <w:sz w:val="24"/>
            <w:lang w:eastAsia="sv-SE"/>
            <w14:ligatures w14:val="standardContextual"/>
          </w:rPr>
          <w:tab/>
        </w:r>
        <w:r w:rsidRPr="006F0892">
          <w:rPr>
            <w:rStyle w:val="Hyperlink"/>
            <w:rFonts w:ascii="Times New Roman" w:hAnsi="Times New Roman"/>
            <w:b/>
          </w:rPr>
          <w:t>Förkortningar</w:t>
        </w:r>
        <w:r>
          <w:rPr>
            <w:webHidden/>
          </w:rPr>
          <w:tab/>
        </w:r>
        <w:r>
          <w:rPr>
            <w:webHidden/>
          </w:rPr>
          <w:fldChar w:fldCharType="begin"/>
        </w:r>
        <w:r>
          <w:rPr>
            <w:webHidden/>
          </w:rPr>
          <w:instrText xml:space="preserve"> PAGEREF _Toc188450098 \h </w:instrText>
        </w:r>
        <w:r>
          <w:rPr>
            <w:webHidden/>
          </w:rPr>
        </w:r>
        <w:r>
          <w:rPr>
            <w:webHidden/>
          </w:rPr>
          <w:fldChar w:fldCharType="separate"/>
        </w:r>
        <w:r>
          <w:rPr>
            <w:webHidden/>
          </w:rPr>
          <w:t>2</w:t>
        </w:r>
        <w:r>
          <w:rPr>
            <w:webHidden/>
          </w:rPr>
          <w:fldChar w:fldCharType="end"/>
        </w:r>
      </w:hyperlink>
    </w:p>
    <w:p w14:paraId="0DC20BA8" w14:textId="21D8C428" w:rsidR="00487FE2" w:rsidRDefault="00487FE2">
      <w:pPr>
        <w:pStyle w:val="TOC3"/>
        <w:rPr>
          <w:rFonts w:asciiTheme="minorHAnsi" w:eastAsiaTheme="minorEastAsia" w:hAnsiTheme="minorHAnsi" w:cstheme="minorBidi"/>
          <w:smallCaps w:val="0"/>
          <w:kern w:val="2"/>
          <w:sz w:val="24"/>
          <w:lang w:eastAsia="sv-SE"/>
          <w14:ligatures w14:val="standardContextual"/>
        </w:rPr>
      </w:pPr>
      <w:hyperlink w:anchor="_Toc188450099" w:history="1">
        <w:r w:rsidRPr="006F0892">
          <w:rPr>
            <w:rStyle w:val="Hyperlink"/>
            <w:rFonts w:ascii="Times New Roman" w:hAnsi="Times New Roman"/>
            <w:b/>
          </w:rPr>
          <w:t>1.4</w:t>
        </w:r>
        <w:r>
          <w:rPr>
            <w:rFonts w:asciiTheme="minorHAnsi" w:eastAsiaTheme="minorEastAsia" w:hAnsiTheme="minorHAnsi" w:cstheme="minorBidi"/>
            <w:smallCaps w:val="0"/>
            <w:kern w:val="2"/>
            <w:sz w:val="24"/>
            <w:lang w:eastAsia="sv-SE"/>
            <w14:ligatures w14:val="standardContextual"/>
          </w:rPr>
          <w:tab/>
        </w:r>
        <w:r w:rsidRPr="006F0892">
          <w:rPr>
            <w:rStyle w:val="Hyperlink"/>
            <w:rFonts w:ascii="Times New Roman" w:hAnsi="Times New Roman"/>
            <w:b/>
          </w:rPr>
          <w:t>Tecken</w:t>
        </w:r>
        <w:r>
          <w:rPr>
            <w:webHidden/>
          </w:rPr>
          <w:tab/>
        </w:r>
        <w:r>
          <w:rPr>
            <w:webHidden/>
          </w:rPr>
          <w:fldChar w:fldCharType="begin"/>
        </w:r>
        <w:r>
          <w:rPr>
            <w:webHidden/>
          </w:rPr>
          <w:instrText xml:space="preserve"> PAGEREF _Toc188450099 \h </w:instrText>
        </w:r>
        <w:r>
          <w:rPr>
            <w:webHidden/>
          </w:rPr>
        </w:r>
        <w:r>
          <w:rPr>
            <w:webHidden/>
          </w:rPr>
          <w:fldChar w:fldCharType="separate"/>
        </w:r>
        <w:r>
          <w:rPr>
            <w:webHidden/>
          </w:rPr>
          <w:t>3</w:t>
        </w:r>
        <w:r>
          <w:rPr>
            <w:webHidden/>
          </w:rPr>
          <w:fldChar w:fldCharType="end"/>
        </w:r>
      </w:hyperlink>
    </w:p>
    <w:p w14:paraId="6845DD08" w14:textId="6C2EC852" w:rsidR="00487FE2" w:rsidRDefault="00487FE2">
      <w:pPr>
        <w:pStyle w:val="TOC1"/>
        <w:rPr>
          <w:rFonts w:asciiTheme="minorHAnsi" w:eastAsiaTheme="minorEastAsia" w:hAnsiTheme="minorHAnsi" w:cstheme="minorBidi"/>
          <w:color w:val="auto"/>
          <w:kern w:val="2"/>
          <w:sz w:val="24"/>
          <w:szCs w:val="24"/>
          <w:lang w:eastAsia="sv-SE"/>
          <w14:ligatures w14:val="standardContextual"/>
        </w:rPr>
      </w:pPr>
      <w:hyperlink w:anchor="_Toc188450100" w:history="1">
        <w:r w:rsidRPr="006F0892">
          <w:rPr>
            <w:rStyle w:val="Hyperlink"/>
            <w:rFonts w:ascii="Times New Roman" w:hAnsi="Times New Roman"/>
            <w:b/>
          </w:rPr>
          <w:t>DEL II: MALLRELATERADE INSTRUKTIONER</w:t>
        </w:r>
        <w:r>
          <w:rPr>
            <w:webHidden/>
          </w:rPr>
          <w:tab/>
        </w:r>
        <w:r>
          <w:rPr>
            <w:webHidden/>
          </w:rPr>
          <w:fldChar w:fldCharType="begin"/>
        </w:r>
        <w:r>
          <w:rPr>
            <w:webHidden/>
          </w:rPr>
          <w:instrText xml:space="preserve"> PAGEREF _Toc188450100 \h </w:instrText>
        </w:r>
        <w:r>
          <w:rPr>
            <w:webHidden/>
          </w:rPr>
        </w:r>
        <w:r>
          <w:rPr>
            <w:webHidden/>
          </w:rPr>
          <w:fldChar w:fldCharType="separate"/>
        </w:r>
        <w:r>
          <w:rPr>
            <w:webHidden/>
          </w:rPr>
          <w:t>4</w:t>
        </w:r>
        <w:r>
          <w:rPr>
            <w:webHidden/>
          </w:rPr>
          <w:fldChar w:fldCharType="end"/>
        </w:r>
      </w:hyperlink>
    </w:p>
    <w:p w14:paraId="5B3D742A" w14:textId="3F89FF9E" w:rsidR="00487FE2" w:rsidRDefault="00487FE2">
      <w:pPr>
        <w:pStyle w:val="TOC2"/>
        <w:rPr>
          <w:rFonts w:asciiTheme="minorHAnsi" w:eastAsiaTheme="minorEastAsia" w:hAnsiTheme="minorHAnsi" w:cstheme="minorBidi"/>
          <w:b w:val="0"/>
          <w:smallCaps w:val="0"/>
          <w:kern w:val="2"/>
          <w:sz w:val="24"/>
          <w:szCs w:val="24"/>
          <w:lang w:eastAsia="sv-SE"/>
          <w14:ligatures w14:val="standardContextual"/>
        </w:rPr>
      </w:pPr>
      <w:hyperlink w:anchor="_Toc188450101" w:history="1">
        <w:r w:rsidRPr="006F0892">
          <w:rPr>
            <w:rStyle w:val="Hyperlink"/>
            <w:rFonts w:ascii="Times New Roman" w:hAnsi="Times New Roman"/>
          </w:rPr>
          <w:t>1.</w:t>
        </w:r>
        <w:r>
          <w:rPr>
            <w:rFonts w:asciiTheme="minorHAnsi" w:eastAsiaTheme="minorEastAsia" w:hAnsiTheme="minorHAnsi" w:cstheme="minorBidi"/>
            <w:b w:val="0"/>
            <w:smallCaps w:val="0"/>
            <w:kern w:val="2"/>
            <w:sz w:val="24"/>
            <w:szCs w:val="24"/>
            <w:lang w:eastAsia="sv-SE"/>
            <w14:ligatures w14:val="standardContextual"/>
          </w:rPr>
          <w:tab/>
        </w:r>
        <w:r w:rsidRPr="006F0892">
          <w:rPr>
            <w:rStyle w:val="Hyperlink"/>
            <w:rFonts w:ascii="Times New Roman" w:hAnsi="Times New Roman"/>
          </w:rPr>
          <w:t>Formler för beräkning av bruttosoliditetsgrad</w:t>
        </w:r>
        <w:r>
          <w:rPr>
            <w:webHidden/>
          </w:rPr>
          <w:tab/>
        </w:r>
        <w:r>
          <w:rPr>
            <w:webHidden/>
          </w:rPr>
          <w:fldChar w:fldCharType="begin"/>
        </w:r>
        <w:r>
          <w:rPr>
            <w:webHidden/>
          </w:rPr>
          <w:instrText xml:space="preserve"> PAGEREF _Toc188450101 \h </w:instrText>
        </w:r>
        <w:r>
          <w:rPr>
            <w:webHidden/>
          </w:rPr>
        </w:r>
        <w:r>
          <w:rPr>
            <w:webHidden/>
          </w:rPr>
          <w:fldChar w:fldCharType="separate"/>
        </w:r>
        <w:r>
          <w:rPr>
            <w:webHidden/>
          </w:rPr>
          <w:t>4</w:t>
        </w:r>
        <w:r>
          <w:rPr>
            <w:webHidden/>
          </w:rPr>
          <w:fldChar w:fldCharType="end"/>
        </w:r>
      </w:hyperlink>
    </w:p>
    <w:p w14:paraId="5F9E5D8D" w14:textId="573A605C" w:rsidR="00487FE2" w:rsidRDefault="00487FE2">
      <w:pPr>
        <w:pStyle w:val="TOC2"/>
        <w:rPr>
          <w:rFonts w:asciiTheme="minorHAnsi" w:eastAsiaTheme="minorEastAsia" w:hAnsiTheme="minorHAnsi" w:cstheme="minorBidi"/>
          <w:b w:val="0"/>
          <w:smallCaps w:val="0"/>
          <w:kern w:val="2"/>
          <w:sz w:val="24"/>
          <w:szCs w:val="24"/>
          <w:lang w:eastAsia="sv-SE"/>
          <w14:ligatures w14:val="standardContextual"/>
        </w:rPr>
      </w:pPr>
      <w:hyperlink w:anchor="_Toc188450102" w:history="1">
        <w:r w:rsidRPr="006F0892">
          <w:rPr>
            <w:rStyle w:val="Hyperlink"/>
            <w:rFonts w:ascii="Times New Roman" w:hAnsi="Times New Roman"/>
          </w:rPr>
          <w:t>2.</w:t>
        </w:r>
        <w:r>
          <w:rPr>
            <w:rFonts w:asciiTheme="minorHAnsi" w:eastAsiaTheme="minorEastAsia" w:hAnsiTheme="minorHAnsi" w:cstheme="minorBidi"/>
            <w:b w:val="0"/>
            <w:smallCaps w:val="0"/>
            <w:kern w:val="2"/>
            <w:sz w:val="24"/>
            <w:szCs w:val="24"/>
            <w:lang w:eastAsia="sv-SE"/>
            <w14:ligatures w14:val="standardContextual"/>
          </w:rPr>
          <w:tab/>
        </w:r>
        <w:r w:rsidRPr="006F0892">
          <w:rPr>
            <w:rStyle w:val="Hyperlink"/>
            <w:rFonts w:ascii="Times New Roman" w:hAnsi="Times New Roman"/>
          </w:rPr>
          <w:t>Tröskelvärden för derivat</w:t>
        </w:r>
        <w:r>
          <w:rPr>
            <w:webHidden/>
          </w:rPr>
          <w:tab/>
        </w:r>
        <w:r>
          <w:rPr>
            <w:webHidden/>
          </w:rPr>
          <w:fldChar w:fldCharType="begin"/>
        </w:r>
        <w:r>
          <w:rPr>
            <w:webHidden/>
          </w:rPr>
          <w:instrText xml:space="preserve"> PAGEREF _Toc188450102 \h </w:instrText>
        </w:r>
        <w:r>
          <w:rPr>
            <w:webHidden/>
          </w:rPr>
        </w:r>
        <w:r>
          <w:rPr>
            <w:webHidden/>
          </w:rPr>
          <w:fldChar w:fldCharType="separate"/>
        </w:r>
        <w:r>
          <w:rPr>
            <w:webHidden/>
          </w:rPr>
          <w:t>4</w:t>
        </w:r>
        <w:r>
          <w:rPr>
            <w:webHidden/>
          </w:rPr>
          <w:fldChar w:fldCharType="end"/>
        </w:r>
      </w:hyperlink>
    </w:p>
    <w:p w14:paraId="5977D272" w14:textId="27D6E17C" w:rsidR="00487FE2" w:rsidRDefault="00487FE2">
      <w:pPr>
        <w:pStyle w:val="TOC2"/>
        <w:rPr>
          <w:rFonts w:asciiTheme="minorHAnsi" w:eastAsiaTheme="minorEastAsia" w:hAnsiTheme="minorHAnsi" w:cstheme="minorBidi"/>
          <w:b w:val="0"/>
          <w:smallCaps w:val="0"/>
          <w:kern w:val="2"/>
          <w:sz w:val="24"/>
          <w:szCs w:val="24"/>
          <w:lang w:eastAsia="sv-SE"/>
          <w14:ligatures w14:val="standardContextual"/>
        </w:rPr>
      </w:pPr>
      <w:hyperlink w:anchor="_Toc188450103" w:history="1">
        <w:r w:rsidRPr="006F0892">
          <w:rPr>
            <w:rStyle w:val="Hyperlink"/>
            <w:rFonts w:ascii="Times New Roman" w:hAnsi="Times New Roman"/>
          </w:rPr>
          <w:t>3.</w:t>
        </w:r>
        <w:r>
          <w:rPr>
            <w:rFonts w:asciiTheme="minorHAnsi" w:eastAsiaTheme="minorEastAsia" w:hAnsiTheme="minorHAnsi" w:cstheme="minorBidi"/>
            <w:b w:val="0"/>
            <w:smallCaps w:val="0"/>
            <w:kern w:val="2"/>
            <w:sz w:val="24"/>
            <w:szCs w:val="24"/>
            <w:lang w:eastAsia="sv-SE"/>
            <w14:ligatures w14:val="standardContextual"/>
          </w:rPr>
          <w:tab/>
        </w:r>
        <w:r w:rsidRPr="006F0892">
          <w:rPr>
            <w:rStyle w:val="Hyperlink"/>
            <w:rFonts w:ascii="Times New Roman" w:hAnsi="Times New Roman"/>
          </w:rPr>
          <w:t>C 47.00 – Beräkning av bruttosoliditetsgrad (LRCalc)</w:t>
        </w:r>
        <w:r>
          <w:rPr>
            <w:webHidden/>
          </w:rPr>
          <w:tab/>
        </w:r>
        <w:r>
          <w:rPr>
            <w:webHidden/>
          </w:rPr>
          <w:fldChar w:fldCharType="begin"/>
        </w:r>
        <w:r>
          <w:rPr>
            <w:webHidden/>
          </w:rPr>
          <w:instrText xml:space="preserve"> PAGEREF _Toc188450103 \h </w:instrText>
        </w:r>
        <w:r>
          <w:rPr>
            <w:webHidden/>
          </w:rPr>
        </w:r>
        <w:r>
          <w:rPr>
            <w:webHidden/>
          </w:rPr>
          <w:fldChar w:fldCharType="separate"/>
        </w:r>
        <w:r>
          <w:rPr>
            <w:webHidden/>
          </w:rPr>
          <w:t>5</w:t>
        </w:r>
        <w:r>
          <w:rPr>
            <w:webHidden/>
          </w:rPr>
          <w:fldChar w:fldCharType="end"/>
        </w:r>
      </w:hyperlink>
    </w:p>
    <w:p w14:paraId="64D152A7" w14:textId="682C698E" w:rsidR="00487FE2" w:rsidRDefault="00487FE2">
      <w:pPr>
        <w:pStyle w:val="TOC2"/>
        <w:rPr>
          <w:rFonts w:asciiTheme="minorHAnsi" w:eastAsiaTheme="minorEastAsia" w:hAnsiTheme="minorHAnsi" w:cstheme="minorBidi"/>
          <w:b w:val="0"/>
          <w:smallCaps w:val="0"/>
          <w:kern w:val="2"/>
          <w:sz w:val="24"/>
          <w:szCs w:val="24"/>
          <w:lang w:eastAsia="sv-SE"/>
          <w14:ligatures w14:val="standardContextual"/>
        </w:rPr>
      </w:pPr>
      <w:hyperlink w:anchor="_Toc188450104" w:history="1">
        <w:r w:rsidRPr="006F0892">
          <w:rPr>
            <w:rStyle w:val="Hyperlink"/>
            <w:rFonts w:ascii="Times New Roman" w:hAnsi="Times New Roman"/>
          </w:rPr>
          <w:t>4.</w:t>
        </w:r>
        <w:r>
          <w:rPr>
            <w:rFonts w:asciiTheme="minorHAnsi" w:eastAsiaTheme="minorEastAsia" w:hAnsiTheme="minorHAnsi" w:cstheme="minorBidi"/>
            <w:b w:val="0"/>
            <w:smallCaps w:val="0"/>
            <w:kern w:val="2"/>
            <w:sz w:val="24"/>
            <w:szCs w:val="24"/>
            <w:lang w:eastAsia="sv-SE"/>
            <w14:ligatures w14:val="standardContextual"/>
          </w:rPr>
          <w:tab/>
        </w:r>
        <w:r w:rsidRPr="006F0892">
          <w:rPr>
            <w:rStyle w:val="Hyperlink"/>
            <w:rFonts w:ascii="Times New Roman" w:hAnsi="Times New Roman"/>
          </w:rPr>
          <w:t>C 40.00 – Alternativ behandling av exponeringsmått (LR1)</w:t>
        </w:r>
        <w:r>
          <w:rPr>
            <w:webHidden/>
          </w:rPr>
          <w:tab/>
        </w:r>
        <w:r>
          <w:rPr>
            <w:webHidden/>
          </w:rPr>
          <w:fldChar w:fldCharType="begin"/>
        </w:r>
        <w:r>
          <w:rPr>
            <w:webHidden/>
          </w:rPr>
          <w:instrText xml:space="preserve"> PAGEREF _Toc188450104 \h </w:instrText>
        </w:r>
        <w:r>
          <w:rPr>
            <w:webHidden/>
          </w:rPr>
        </w:r>
        <w:r>
          <w:rPr>
            <w:webHidden/>
          </w:rPr>
          <w:fldChar w:fldCharType="separate"/>
        </w:r>
        <w:r>
          <w:rPr>
            <w:webHidden/>
          </w:rPr>
          <w:t>32</w:t>
        </w:r>
        <w:r>
          <w:rPr>
            <w:webHidden/>
          </w:rPr>
          <w:fldChar w:fldCharType="end"/>
        </w:r>
      </w:hyperlink>
    </w:p>
    <w:p w14:paraId="4D5CB871" w14:textId="2F10DE33" w:rsidR="00487FE2" w:rsidRDefault="00487FE2">
      <w:pPr>
        <w:pStyle w:val="TOC2"/>
        <w:rPr>
          <w:rFonts w:asciiTheme="minorHAnsi" w:eastAsiaTheme="minorEastAsia" w:hAnsiTheme="minorHAnsi" w:cstheme="minorBidi"/>
          <w:b w:val="0"/>
          <w:smallCaps w:val="0"/>
          <w:kern w:val="2"/>
          <w:sz w:val="24"/>
          <w:szCs w:val="24"/>
          <w:lang w:eastAsia="sv-SE"/>
          <w14:ligatures w14:val="standardContextual"/>
        </w:rPr>
      </w:pPr>
      <w:hyperlink w:anchor="_Toc188450105" w:history="1">
        <w:r w:rsidRPr="006F0892">
          <w:rPr>
            <w:rStyle w:val="Hyperlink"/>
            <w:rFonts w:ascii="Times New Roman" w:hAnsi="Times New Roman"/>
          </w:rPr>
          <w:t>5.</w:t>
        </w:r>
        <w:r>
          <w:rPr>
            <w:rFonts w:asciiTheme="minorHAnsi" w:eastAsiaTheme="minorEastAsia" w:hAnsiTheme="minorHAnsi" w:cstheme="minorBidi"/>
            <w:b w:val="0"/>
            <w:smallCaps w:val="0"/>
            <w:kern w:val="2"/>
            <w:sz w:val="24"/>
            <w:szCs w:val="24"/>
            <w:lang w:eastAsia="sv-SE"/>
            <w14:ligatures w14:val="standardContextual"/>
          </w:rPr>
          <w:tab/>
        </w:r>
        <w:r w:rsidRPr="006F0892">
          <w:rPr>
            <w:rStyle w:val="Hyperlink"/>
            <w:rFonts w:ascii="Times New Roman" w:hAnsi="Times New Roman"/>
          </w:rPr>
          <w:t>C 43.00 – Alternativ uppdelning av komponenter i exponeringsmått för bruttosoliditetsgrad (LR4)</w:t>
        </w:r>
        <w:r>
          <w:rPr>
            <w:webHidden/>
          </w:rPr>
          <w:tab/>
        </w:r>
        <w:r>
          <w:rPr>
            <w:webHidden/>
          </w:rPr>
          <w:fldChar w:fldCharType="begin"/>
        </w:r>
        <w:r>
          <w:rPr>
            <w:webHidden/>
          </w:rPr>
          <w:instrText xml:space="preserve"> PAGEREF _Toc188450105 \h </w:instrText>
        </w:r>
        <w:r>
          <w:rPr>
            <w:webHidden/>
          </w:rPr>
        </w:r>
        <w:r>
          <w:rPr>
            <w:webHidden/>
          </w:rPr>
          <w:fldChar w:fldCharType="separate"/>
        </w:r>
        <w:r>
          <w:rPr>
            <w:webHidden/>
          </w:rPr>
          <w:t>43</w:t>
        </w:r>
        <w:r>
          <w:rPr>
            <w:webHidden/>
          </w:rPr>
          <w:fldChar w:fldCharType="end"/>
        </w:r>
      </w:hyperlink>
    </w:p>
    <w:p w14:paraId="791CB6D7" w14:textId="1483934E" w:rsidR="00487FE2" w:rsidRDefault="00487FE2">
      <w:pPr>
        <w:pStyle w:val="TOC2"/>
        <w:rPr>
          <w:rFonts w:asciiTheme="minorHAnsi" w:eastAsiaTheme="minorEastAsia" w:hAnsiTheme="minorHAnsi" w:cstheme="minorBidi"/>
          <w:b w:val="0"/>
          <w:smallCaps w:val="0"/>
          <w:kern w:val="2"/>
          <w:sz w:val="24"/>
          <w:szCs w:val="24"/>
          <w:lang w:eastAsia="sv-SE"/>
          <w14:ligatures w14:val="standardContextual"/>
        </w:rPr>
      </w:pPr>
      <w:hyperlink w:anchor="_Toc188450106" w:history="1">
        <w:r w:rsidRPr="006F0892">
          <w:rPr>
            <w:rStyle w:val="Hyperlink"/>
            <w:rFonts w:ascii="Times New Roman" w:hAnsi="Times New Roman"/>
          </w:rPr>
          <w:t>6.</w:t>
        </w:r>
        <w:r>
          <w:rPr>
            <w:rFonts w:asciiTheme="minorHAnsi" w:eastAsiaTheme="minorEastAsia" w:hAnsiTheme="minorHAnsi" w:cstheme="minorBidi"/>
            <w:b w:val="0"/>
            <w:smallCaps w:val="0"/>
            <w:kern w:val="2"/>
            <w:sz w:val="24"/>
            <w:szCs w:val="24"/>
            <w:lang w:eastAsia="sv-SE"/>
            <w14:ligatures w14:val="standardContextual"/>
          </w:rPr>
          <w:tab/>
        </w:r>
        <w:r w:rsidRPr="006F0892">
          <w:rPr>
            <w:rStyle w:val="Hyperlink"/>
            <w:rFonts w:ascii="Times New Roman" w:hAnsi="Times New Roman"/>
          </w:rPr>
          <w:t>C 44.00 – Allmänna uppgifter (LR5)</w:t>
        </w:r>
        <w:r>
          <w:rPr>
            <w:webHidden/>
          </w:rPr>
          <w:tab/>
        </w:r>
        <w:r>
          <w:rPr>
            <w:webHidden/>
          </w:rPr>
          <w:fldChar w:fldCharType="begin"/>
        </w:r>
        <w:r>
          <w:rPr>
            <w:webHidden/>
          </w:rPr>
          <w:instrText xml:space="preserve"> PAGEREF _Toc188450106 \h </w:instrText>
        </w:r>
        <w:r>
          <w:rPr>
            <w:webHidden/>
          </w:rPr>
        </w:r>
        <w:r>
          <w:rPr>
            <w:webHidden/>
          </w:rPr>
          <w:fldChar w:fldCharType="separate"/>
        </w:r>
        <w:r>
          <w:rPr>
            <w:webHidden/>
          </w:rPr>
          <w:t>71</w:t>
        </w:r>
        <w:r>
          <w:rPr>
            <w:webHidden/>
          </w:rPr>
          <w:fldChar w:fldCharType="end"/>
        </w:r>
      </w:hyperlink>
    </w:p>
    <w:p w14:paraId="5D9F569B" w14:textId="17756247" w:rsidR="00487FE2" w:rsidRDefault="00487FE2">
      <w:pPr>
        <w:pStyle w:val="TOC2"/>
        <w:rPr>
          <w:rFonts w:asciiTheme="minorHAnsi" w:eastAsiaTheme="minorEastAsia" w:hAnsiTheme="minorHAnsi" w:cstheme="minorBidi"/>
          <w:b w:val="0"/>
          <w:smallCaps w:val="0"/>
          <w:kern w:val="2"/>
          <w:sz w:val="24"/>
          <w:szCs w:val="24"/>
          <w:lang w:eastAsia="sv-SE"/>
          <w14:ligatures w14:val="standardContextual"/>
        </w:rPr>
      </w:pPr>
      <w:hyperlink w:anchor="_Toc188450107" w:history="1">
        <w:r w:rsidRPr="006F0892">
          <w:rPr>
            <w:rStyle w:val="Hyperlink"/>
            <w:rFonts w:ascii="Times New Roman" w:hAnsi="Times New Roman"/>
          </w:rPr>
          <w:t>7.</w:t>
        </w:r>
        <w:r>
          <w:rPr>
            <w:rFonts w:asciiTheme="minorHAnsi" w:eastAsiaTheme="minorEastAsia" w:hAnsiTheme="minorHAnsi" w:cstheme="minorBidi"/>
            <w:b w:val="0"/>
            <w:smallCaps w:val="0"/>
            <w:kern w:val="2"/>
            <w:sz w:val="24"/>
            <w:szCs w:val="24"/>
            <w:lang w:eastAsia="sv-SE"/>
            <w14:ligatures w14:val="standardContextual"/>
          </w:rPr>
          <w:tab/>
        </w:r>
        <w:r w:rsidRPr="006F0892">
          <w:rPr>
            <w:rStyle w:val="Hyperlink"/>
            <w:rFonts w:ascii="Times New Roman" w:hAnsi="Times New Roman"/>
          </w:rPr>
          <w:t>C 48.00 – Bruttosoliditetsgradens volatilitet (LR6)</w:t>
        </w:r>
        <w:r>
          <w:rPr>
            <w:webHidden/>
          </w:rPr>
          <w:tab/>
        </w:r>
        <w:r>
          <w:rPr>
            <w:webHidden/>
          </w:rPr>
          <w:fldChar w:fldCharType="begin"/>
        </w:r>
        <w:r>
          <w:rPr>
            <w:webHidden/>
          </w:rPr>
          <w:instrText xml:space="preserve"> PAGEREF _Toc188450107 \h </w:instrText>
        </w:r>
        <w:r>
          <w:rPr>
            <w:webHidden/>
          </w:rPr>
        </w:r>
        <w:r>
          <w:rPr>
            <w:webHidden/>
          </w:rPr>
          <w:fldChar w:fldCharType="separate"/>
        </w:r>
        <w:r>
          <w:rPr>
            <w:webHidden/>
          </w:rPr>
          <w:t>72</w:t>
        </w:r>
        <w:r>
          <w:rPr>
            <w:webHidden/>
          </w:rPr>
          <w:fldChar w:fldCharType="end"/>
        </w:r>
      </w:hyperlink>
    </w:p>
    <w:p w14:paraId="44CA65EE" w14:textId="53B99798" w:rsidR="00487FE2" w:rsidRDefault="00487FE2">
      <w:pPr>
        <w:pStyle w:val="TOC2"/>
        <w:rPr>
          <w:rFonts w:asciiTheme="minorHAnsi" w:eastAsiaTheme="minorEastAsia" w:hAnsiTheme="minorHAnsi" w:cstheme="minorBidi"/>
          <w:b w:val="0"/>
          <w:smallCaps w:val="0"/>
          <w:kern w:val="2"/>
          <w:sz w:val="24"/>
          <w:szCs w:val="24"/>
          <w:lang w:eastAsia="sv-SE"/>
          <w14:ligatures w14:val="standardContextual"/>
        </w:rPr>
      </w:pPr>
      <w:hyperlink w:anchor="_Toc188450108" w:history="1">
        <w:r w:rsidRPr="006F0892">
          <w:rPr>
            <w:rStyle w:val="Hyperlink"/>
            <w:rFonts w:ascii="Times New Roman" w:hAnsi="Times New Roman"/>
          </w:rPr>
          <w:t>8.</w:t>
        </w:r>
        <w:r>
          <w:rPr>
            <w:rFonts w:asciiTheme="minorHAnsi" w:eastAsiaTheme="minorEastAsia" w:hAnsiTheme="minorHAnsi" w:cstheme="minorBidi"/>
            <w:b w:val="0"/>
            <w:smallCaps w:val="0"/>
            <w:kern w:val="2"/>
            <w:sz w:val="24"/>
            <w:szCs w:val="24"/>
            <w:lang w:eastAsia="sv-SE"/>
            <w14:ligatures w14:val="standardContextual"/>
          </w:rPr>
          <w:tab/>
        </w:r>
        <w:r w:rsidRPr="006F0892">
          <w:rPr>
            <w:rStyle w:val="Hyperlink"/>
            <w:rFonts w:ascii="Times New Roman" w:hAnsi="Times New Roman"/>
          </w:rPr>
          <w:t>C 48.01 Bruttosoliditetsgradens volatilitet: Medelvärde för rapporteringsperioden</w:t>
        </w:r>
        <w:r>
          <w:rPr>
            <w:webHidden/>
          </w:rPr>
          <w:tab/>
        </w:r>
        <w:r>
          <w:rPr>
            <w:webHidden/>
          </w:rPr>
          <w:fldChar w:fldCharType="begin"/>
        </w:r>
        <w:r>
          <w:rPr>
            <w:webHidden/>
          </w:rPr>
          <w:instrText xml:space="preserve"> PAGEREF _Toc188450108 \h </w:instrText>
        </w:r>
        <w:r>
          <w:rPr>
            <w:webHidden/>
          </w:rPr>
        </w:r>
        <w:r>
          <w:rPr>
            <w:webHidden/>
          </w:rPr>
          <w:fldChar w:fldCharType="separate"/>
        </w:r>
        <w:r>
          <w:rPr>
            <w:webHidden/>
          </w:rPr>
          <w:t>72</w:t>
        </w:r>
        <w:r>
          <w:rPr>
            <w:webHidden/>
          </w:rPr>
          <w:fldChar w:fldCharType="end"/>
        </w:r>
      </w:hyperlink>
    </w:p>
    <w:p w14:paraId="23B52B56" w14:textId="04FB7ACE" w:rsidR="00487FE2" w:rsidRDefault="00487FE2">
      <w:pPr>
        <w:pStyle w:val="TOC2"/>
        <w:rPr>
          <w:rFonts w:asciiTheme="minorHAnsi" w:eastAsiaTheme="minorEastAsia" w:hAnsiTheme="minorHAnsi" w:cstheme="minorBidi"/>
          <w:b w:val="0"/>
          <w:smallCaps w:val="0"/>
          <w:kern w:val="2"/>
          <w:sz w:val="24"/>
          <w:szCs w:val="24"/>
          <w:lang w:eastAsia="sv-SE"/>
          <w14:ligatures w14:val="standardContextual"/>
        </w:rPr>
      </w:pPr>
      <w:hyperlink w:anchor="_Toc188450109" w:history="1">
        <w:r w:rsidRPr="006F0892">
          <w:rPr>
            <w:rStyle w:val="Hyperlink"/>
            <w:rFonts w:ascii="Times New Roman" w:hAnsi="Times New Roman"/>
          </w:rPr>
          <w:t>9.</w:t>
        </w:r>
        <w:r>
          <w:rPr>
            <w:rFonts w:asciiTheme="minorHAnsi" w:eastAsiaTheme="minorEastAsia" w:hAnsiTheme="minorHAnsi" w:cstheme="minorBidi"/>
            <w:b w:val="0"/>
            <w:smallCaps w:val="0"/>
            <w:kern w:val="2"/>
            <w:sz w:val="24"/>
            <w:szCs w:val="24"/>
            <w:lang w:eastAsia="sv-SE"/>
            <w14:ligatures w14:val="standardContextual"/>
          </w:rPr>
          <w:tab/>
        </w:r>
        <w:r w:rsidRPr="006F0892">
          <w:rPr>
            <w:rStyle w:val="Hyperlink"/>
            <w:rFonts w:ascii="Times New Roman" w:hAnsi="Times New Roman"/>
          </w:rPr>
          <w:t>C 48.02 Bruttosoliditetsgradens volatilitet: Dagliga värden för rapporteringsperioden</w:t>
        </w:r>
        <w:r>
          <w:rPr>
            <w:webHidden/>
          </w:rPr>
          <w:tab/>
        </w:r>
        <w:r>
          <w:rPr>
            <w:webHidden/>
          </w:rPr>
          <w:fldChar w:fldCharType="begin"/>
        </w:r>
        <w:r>
          <w:rPr>
            <w:webHidden/>
          </w:rPr>
          <w:instrText xml:space="preserve"> PAGEREF _Toc188450109 \h </w:instrText>
        </w:r>
        <w:r>
          <w:rPr>
            <w:webHidden/>
          </w:rPr>
        </w:r>
        <w:r>
          <w:rPr>
            <w:webHidden/>
          </w:rPr>
          <w:fldChar w:fldCharType="separate"/>
        </w:r>
        <w:r>
          <w:rPr>
            <w:webHidden/>
          </w:rPr>
          <w:t>73</w:t>
        </w:r>
        <w:r>
          <w:rPr>
            <w:webHidden/>
          </w:rPr>
          <w:fldChar w:fldCharType="end"/>
        </w:r>
      </w:hyperlink>
    </w:p>
    <w:p w14:paraId="43D747E1" w14:textId="784C4DD7" w:rsidR="00AC3257" w:rsidRPr="000B66BC" w:rsidRDefault="00391EF9" w:rsidP="000B66BC">
      <w:pPr>
        <w:pStyle w:val="BodyText1"/>
        <w:rPr>
          <w:rFonts w:ascii="Times New Roman" w:hAnsi="Times New Roman"/>
          <w:sz w:val="24"/>
        </w:rPr>
        <w:sectPr w:rsidR="00AC3257" w:rsidRPr="000B66BC" w:rsidSect="00DC2C28">
          <w:headerReference w:type="even" r:id="rId13"/>
          <w:headerReference w:type="default" r:id="rId14"/>
          <w:footerReference w:type="default" r:id="rId15"/>
          <w:headerReference w:type="first" r:id="rId16"/>
          <w:footerReference w:type="first" r:id="rId17"/>
          <w:endnotePr>
            <w:numFmt w:val="decimal"/>
          </w:endnotePr>
          <w:pgSz w:w="11906" w:h="16838" w:code="9"/>
          <w:pgMar w:top="1417" w:right="1417" w:bottom="1134" w:left="1417" w:header="720" w:footer="720" w:gutter="0"/>
          <w:cols w:space="720"/>
          <w:titlePg/>
          <w:docGrid w:linePitch="360"/>
        </w:sectPr>
      </w:pPr>
      <w:r w:rsidRPr="000B66BC">
        <w:rPr>
          <w:rFonts w:ascii="Times New Roman" w:hAnsi="Times New Roman"/>
          <w:sz w:val="24"/>
        </w:rPr>
        <w:fldChar w:fldCharType="end"/>
      </w:r>
    </w:p>
    <w:p w14:paraId="34ED68DE" w14:textId="77777777" w:rsidR="00F4754B" w:rsidRPr="000B66BC" w:rsidRDefault="00F4754B" w:rsidP="000B66BC">
      <w:pPr>
        <w:pStyle w:val="BodyText1"/>
        <w:spacing w:after="240"/>
        <w:rPr>
          <w:rFonts w:ascii="Times New Roman" w:hAnsi="Times New Roman"/>
          <w:sz w:val="24"/>
          <w:szCs w:val="24"/>
        </w:rPr>
      </w:pPr>
    </w:p>
    <w:p w14:paraId="12DCD63B" w14:textId="77777777" w:rsidR="00217D1F" w:rsidRPr="00864866" w:rsidRDefault="00F4754B" w:rsidP="000B66BC">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188450094"/>
      <w:r>
        <w:rPr>
          <w:rFonts w:ascii="Times New Roman" w:hAnsi="Times New Roman"/>
          <w:b/>
          <w:sz w:val="24"/>
        </w:rPr>
        <w:t>DEL I:</w:t>
      </w:r>
      <w:bookmarkEnd w:id="0"/>
      <w:r>
        <w:rPr>
          <w:rFonts w:ascii="Times New Roman" w:hAnsi="Times New Roman"/>
          <w:b/>
          <w:sz w:val="24"/>
        </w:rPr>
        <w:t xml:space="preserve"> ALLMÄNNA INSTRUKTIONER</w:t>
      </w:r>
      <w:bookmarkEnd w:id="1"/>
      <w:bookmarkEnd w:id="2"/>
      <w:bookmarkEnd w:id="3"/>
      <w:bookmarkEnd w:id="4"/>
      <w:bookmarkEnd w:id="5"/>
    </w:p>
    <w:p w14:paraId="2A030BBF" w14:textId="593C59C8" w:rsidR="00217D1F" w:rsidRPr="000B66BC" w:rsidRDefault="00500508" w:rsidP="000B66BC">
      <w:pPr>
        <w:pStyle w:val="BodyText1"/>
        <w:spacing w:after="240"/>
        <w:ind w:left="357" w:hanging="357"/>
        <w:outlineLvl w:val="1"/>
        <w:rPr>
          <w:rFonts w:ascii="Times New Roman" w:hAnsi="Times New Roman"/>
          <w:b/>
          <w:sz w:val="24"/>
          <w:szCs w:val="24"/>
        </w:rPr>
      </w:pPr>
      <w:bookmarkStart w:id="6" w:name="_Toc351048500"/>
      <w:bookmarkStart w:id="7" w:name="_Toc322687865"/>
      <w:bookmarkStart w:id="8" w:name="_Toc359414274"/>
      <w:bookmarkStart w:id="9" w:name="_Toc423089061"/>
      <w:bookmarkStart w:id="10" w:name="_Toc188450095"/>
      <w:r>
        <w:rPr>
          <w:rFonts w:ascii="Times New Roman" w:hAnsi="Times New Roman"/>
          <w:b/>
          <w:sz w:val="24"/>
        </w:rPr>
        <w:t>1.</w:t>
      </w:r>
      <w:r>
        <w:rPr>
          <w:rFonts w:ascii="Times New Roman" w:hAnsi="Times New Roman"/>
          <w:b/>
          <w:sz w:val="24"/>
        </w:rPr>
        <w:tab/>
        <w:t>Struktur och andra anvisningar</w:t>
      </w:r>
      <w:bookmarkEnd w:id="6"/>
      <w:bookmarkEnd w:id="7"/>
      <w:bookmarkEnd w:id="8"/>
      <w:bookmarkEnd w:id="9"/>
      <w:bookmarkEnd w:id="10"/>
    </w:p>
    <w:p w14:paraId="0F3236AE" w14:textId="6FB096EE" w:rsidR="00217D1F" w:rsidRPr="000B66BC" w:rsidRDefault="00500508" w:rsidP="000B66BC">
      <w:pPr>
        <w:pStyle w:val="BodyText1"/>
        <w:spacing w:after="240"/>
        <w:ind w:left="357" w:hanging="357"/>
        <w:outlineLvl w:val="2"/>
        <w:rPr>
          <w:rFonts w:ascii="Times New Roman" w:hAnsi="Times New Roman"/>
          <w:b/>
          <w:sz w:val="24"/>
          <w:szCs w:val="24"/>
        </w:rPr>
      </w:pPr>
      <w:bookmarkStart w:id="11" w:name="_Toc322687866"/>
      <w:bookmarkStart w:id="12" w:name="_Toc359414275"/>
      <w:bookmarkStart w:id="13" w:name="_Toc423089062"/>
      <w:bookmarkStart w:id="14" w:name="_Toc264038399"/>
      <w:bookmarkStart w:id="15" w:name="_Toc294018834"/>
      <w:bookmarkStart w:id="16" w:name="_Toc188450096"/>
      <w:r>
        <w:rPr>
          <w:rFonts w:ascii="Times New Roman" w:hAnsi="Times New Roman"/>
          <w:b/>
          <w:sz w:val="24"/>
        </w:rPr>
        <w:t>1.1</w:t>
      </w:r>
      <w:r>
        <w:rPr>
          <w:rFonts w:ascii="Times New Roman" w:hAnsi="Times New Roman"/>
          <w:b/>
          <w:sz w:val="24"/>
        </w:rPr>
        <w:tab/>
      </w:r>
      <w:bookmarkEnd w:id="11"/>
      <w:bookmarkEnd w:id="12"/>
      <w:bookmarkEnd w:id="13"/>
      <w:r>
        <w:rPr>
          <w:rFonts w:ascii="Times New Roman" w:hAnsi="Times New Roman"/>
          <w:b/>
          <w:sz w:val="24"/>
        </w:rPr>
        <w:t>Struktur</w:t>
      </w:r>
      <w:bookmarkEnd w:id="16"/>
    </w:p>
    <w:p w14:paraId="050538F0" w14:textId="50037B39" w:rsidR="00E22856"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rPr>
        <w:t>1.</w:t>
      </w:r>
      <w:r>
        <w:rPr>
          <w:rFonts w:ascii="Times New Roman" w:hAnsi="Times New Roman"/>
          <w:sz w:val="24"/>
        </w:rPr>
        <w:tab/>
        <w:t xml:space="preserve">Denna bilaga innehåller ytterligare instruktioner till mallarna för bruttosoliditetsgrad (nedan kallad LR) i bilaga X till denna förordning. </w:t>
      </w:r>
    </w:p>
    <w:p w14:paraId="4B2766E9" w14:textId="78B19E69" w:rsidR="00F4754B" w:rsidRPr="000B66BC" w:rsidRDefault="00500508" w:rsidP="009339D1">
      <w:pPr>
        <w:pStyle w:val="InstructionsText2"/>
        <w:numPr>
          <w:ilvl w:val="0"/>
          <w:numId w:val="0"/>
        </w:numPr>
        <w:ind w:left="720" w:hanging="360"/>
        <w:rPr>
          <w:rFonts w:eastAsia="Times New Roman"/>
          <w:bCs/>
          <w:sz w:val="24"/>
        </w:rPr>
      </w:pPr>
      <w:r>
        <w:rPr>
          <w:sz w:val="24"/>
        </w:rPr>
        <w:t>2.</w:t>
      </w:r>
      <w:r>
        <w:rPr>
          <w:sz w:val="24"/>
        </w:rPr>
        <w:tab/>
        <w:t>Ramen består totalt av fem olika mallar:</w:t>
      </w:r>
    </w:p>
    <w:p w14:paraId="41A3C48C"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rPr>
          <w:rFonts w:ascii="Symbol" w:hAnsi="Symbol"/>
          <w:sz w:val="24"/>
        </w:rPr>
        <w:tab/>
      </w:r>
      <w:r>
        <w:rPr>
          <w:sz w:val="24"/>
        </w:rPr>
        <w:t>C47.00: Beräkning av bruttosoliditetsgrad (</w:t>
      </w:r>
      <w:proofErr w:type="spellStart"/>
      <w:r>
        <w:rPr>
          <w:sz w:val="24"/>
        </w:rPr>
        <w:t>LRCalc</w:t>
      </w:r>
      <w:proofErr w:type="spellEnd"/>
      <w:r>
        <w:rPr>
          <w:sz w:val="24"/>
        </w:rPr>
        <w:t>): Beräkning av bruttosoliditetsgrad.</w:t>
      </w:r>
    </w:p>
    <w:p w14:paraId="42B808C6"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rPr>
          <w:rFonts w:ascii="Symbol" w:hAnsi="Symbol"/>
          <w:sz w:val="24"/>
        </w:rPr>
        <w:tab/>
      </w:r>
      <w:r>
        <w:rPr>
          <w:sz w:val="24"/>
        </w:rPr>
        <w:t>C40.00: Mall 1 för bruttosoliditetsgrad (LR1): Alternativ behandling av exponeringsmått.</w:t>
      </w:r>
    </w:p>
    <w:p w14:paraId="29356C92" w14:textId="650F5016"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rPr>
          <w:rFonts w:ascii="Symbol" w:hAnsi="Symbol"/>
          <w:sz w:val="24"/>
        </w:rPr>
        <w:tab/>
      </w:r>
      <w:r>
        <w:rPr>
          <w:sz w:val="24"/>
        </w:rPr>
        <w:t>C43.00: Mall 4 för bruttosoliditetsgrad (LR4): Alternativ uppdelning av komponenter i exponeringsmått för bruttosoliditetsgrad.</w:t>
      </w:r>
    </w:p>
    <w:p w14:paraId="0192F250" w14:textId="1780456B"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rPr>
          <w:rFonts w:ascii="Symbol" w:hAnsi="Symbol"/>
          <w:sz w:val="24"/>
        </w:rPr>
        <w:tab/>
      </w:r>
      <w:r>
        <w:rPr>
          <w:sz w:val="24"/>
        </w:rPr>
        <w:t>C44.00: Mall 5 för bruttosoliditetsgrad (LR5): Allmänna uppgifter.</w:t>
      </w:r>
    </w:p>
    <w:p w14:paraId="7D668F4C" w14:textId="2EF3E327" w:rsidR="00BE473C" w:rsidRPr="000B66BC" w:rsidRDefault="00BE473C" w:rsidP="009339D1">
      <w:pPr>
        <w:pStyle w:val="InstructionsText2"/>
        <w:numPr>
          <w:ilvl w:val="0"/>
          <w:numId w:val="35"/>
        </w:numPr>
        <w:rPr>
          <w:rFonts w:eastAsia="Times New Roman"/>
          <w:bCs/>
          <w:sz w:val="24"/>
        </w:rPr>
      </w:pPr>
      <w:r>
        <w:rPr>
          <w:sz w:val="24"/>
        </w:rPr>
        <w:t>C48.00: Bruttosoliditetsgradens volatilitet (LR6).</w:t>
      </w:r>
    </w:p>
    <w:p w14:paraId="6D2FC52A" w14:textId="5D5E1B5E" w:rsidR="00FC2664" w:rsidRPr="000B66BC" w:rsidRDefault="00500508" w:rsidP="000B66BC">
      <w:pPr>
        <w:pStyle w:val="InstructionsText2"/>
        <w:numPr>
          <w:ilvl w:val="0"/>
          <w:numId w:val="0"/>
        </w:numPr>
        <w:ind w:left="720" w:hanging="360"/>
        <w:rPr>
          <w:sz w:val="24"/>
        </w:rPr>
      </w:pPr>
      <w:r>
        <w:rPr>
          <w:sz w:val="24"/>
        </w:rPr>
        <w:t>3.</w:t>
      </w:r>
      <w:r>
        <w:rPr>
          <w:sz w:val="24"/>
        </w:rPr>
        <w:tab/>
        <w:t>För varje mall ges hänvisningar till rättsakter samt utförlig information om mer allmänna rapporteringsaspekter.</w:t>
      </w:r>
    </w:p>
    <w:p w14:paraId="5CABBDF6"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17" w:name="_Toc359414277"/>
      <w:bookmarkStart w:id="18" w:name="_Toc322687867"/>
      <w:bookmarkStart w:id="19" w:name="_Toc351048502"/>
      <w:bookmarkStart w:id="20" w:name="_Toc359414278"/>
      <w:bookmarkStart w:id="21" w:name="_Toc423089063"/>
      <w:bookmarkStart w:id="22" w:name="_Toc188450097"/>
      <w:bookmarkEnd w:id="17"/>
      <w:r>
        <w:rPr>
          <w:rFonts w:ascii="Times New Roman" w:hAnsi="Times New Roman"/>
          <w:b/>
          <w:sz w:val="24"/>
        </w:rPr>
        <w:t>1.2.</w:t>
      </w:r>
      <w:r>
        <w:rPr>
          <w:rFonts w:ascii="Times New Roman" w:hAnsi="Times New Roman"/>
          <w:b/>
          <w:sz w:val="24"/>
        </w:rPr>
        <w:tab/>
        <w:t>Numrering</w:t>
      </w:r>
      <w:bookmarkEnd w:id="18"/>
      <w:bookmarkEnd w:id="19"/>
      <w:bookmarkEnd w:id="20"/>
      <w:bookmarkEnd w:id="21"/>
      <w:bookmarkEnd w:id="22"/>
    </w:p>
    <w:p w14:paraId="729F6A05" w14:textId="77777777" w:rsidR="00F4754B" w:rsidRPr="000B66BC" w:rsidRDefault="00500508" w:rsidP="009339D1">
      <w:pPr>
        <w:pStyle w:val="InstructionsText2"/>
        <w:numPr>
          <w:ilvl w:val="0"/>
          <w:numId w:val="0"/>
        </w:numPr>
        <w:ind w:left="720" w:hanging="360"/>
        <w:rPr>
          <w:rFonts w:eastAsia="Times New Roman"/>
          <w:bCs/>
          <w:sz w:val="24"/>
        </w:rPr>
      </w:pPr>
      <w:r>
        <w:rPr>
          <w:sz w:val="24"/>
        </w:rPr>
        <w:t>4.</w:t>
      </w:r>
      <w:r>
        <w:rPr>
          <w:sz w:val="24"/>
        </w:rPr>
        <w:tab/>
        <w:t>Dokumentet ska följa den benämningssed som anges i punkterna nedan vid hänvisning till mallars kolumner, rader och celler. I valideringsbestämmelserna hänvisas ofta till dessa sifferkoder.</w:t>
      </w:r>
    </w:p>
    <w:p w14:paraId="68B33760" w14:textId="77777777" w:rsidR="00F4754B" w:rsidRPr="000B66BC" w:rsidRDefault="00500508" w:rsidP="009339D1">
      <w:pPr>
        <w:pStyle w:val="InstructionsText2"/>
        <w:numPr>
          <w:ilvl w:val="0"/>
          <w:numId w:val="0"/>
        </w:numPr>
        <w:ind w:left="720" w:hanging="360"/>
        <w:rPr>
          <w:rFonts w:eastAsia="Times New Roman"/>
          <w:bCs/>
          <w:sz w:val="24"/>
        </w:rPr>
      </w:pPr>
      <w:r>
        <w:rPr>
          <w:sz w:val="24"/>
        </w:rPr>
        <w:t>5.</w:t>
      </w:r>
      <w:r>
        <w:rPr>
          <w:sz w:val="24"/>
        </w:rPr>
        <w:tab/>
        <w:t>Följande allmänna beteckningssystem används i anvisningarna: {</w:t>
      </w:r>
      <w:proofErr w:type="spellStart"/>
      <w:proofErr w:type="gramStart"/>
      <w:r>
        <w:rPr>
          <w:sz w:val="24"/>
        </w:rPr>
        <w:t>Mall;Rad</w:t>
      </w:r>
      <w:proofErr w:type="gramEnd"/>
      <w:r>
        <w:rPr>
          <w:sz w:val="24"/>
        </w:rPr>
        <w:t>;Kolumn</w:t>
      </w:r>
      <w:proofErr w:type="spellEnd"/>
      <w:r>
        <w:rPr>
          <w:sz w:val="24"/>
        </w:rPr>
        <w:t>}. En asterisk hänvisar till hela raden eller kolumnen.</w:t>
      </w:r>
    </w:p>
    <w:p w14:paraId="3E605DEE" w14:textId="77777777" w:rsidR="00F4754B" w:rsidRPr="000B66BC" w:rsidRDefault="00500508" w:rsidP="009339D1">
      <w:pPr>
        <w:pStyle w:val="InstructionsText2"/>
        <w:numPr>
          <w:ilvl w:val="0"/>
          <w:numId w:val="0"/>
        </w:numPr>
        <w:ind w:left="720" w:hanging="360"/>
        <w:rPr>
          <w:rFonts w:eastAsia="Times New Roman"/>
          <w:bCs/>
          <w:sz w:val="24"/>
        </w:rPr>
      </w:pPr>
      <w:r>
        <w:rPr>
          <w:sz w:val="24"/>
        </w:rPr>
        <w:t>6.</w:t>
      </w:r>
      <w:r>
        <w:rPr>
          <w:sz w:val="24"/>
        </w:rPr>
        <w:tab/>
        <w:t>Vid valideringar i en mall där endast datapunkter från mallen används avser beteckningen inte en mall: {</w:t>
      </w:r>
      <w:proofErr w:type="spellStart"/>
      <w:proofErr w:type="gramStart"/>
      <w:r>
        <w:rPr>
          <w:sz w:val="24"/>
        </w:rPr>
        <w:t>Rad;Kolumn</w:t>
      </w:r>
      <w:proofErr w:type="spellEnd"/>
      <w:proofErr w:type="gramEnd"/>
      <w:r>
        <w:rPr>
          <w:sz w:val="24"/>
        </w:rPr>
        <w:t>}.</w:t>
      </w:r>
    </w:p>
    <w:p w14:paraId="12003733" w14:textId="77777777" w:rsidR="00F4754B" w:rsidRPr="000B66BC" w:rsidRDefault="00500508" w:rsidP="009339D1">
      <w:pPr>
        <w:pStyle w:val="InstructionsText2"/>
        <w:numPr>
          <w:ilvl w:val="0"/>
          <w:numId w:val="0"/>
        </w:numPr>
        <w:ind w:left="720" w:hanging="360"/>
        <w:rPr>
          <w:rFonts w:eastAsia="Times New Roman"/>
          <w:bCs/>
          <w:sz w:val="24"/>
        </w:rPr>
      </w:pPr>
      <w:r>
        <w:rPr>
          <w:sz w:val="24"/>
        </w:rPr>
        <w:t>7.</w:t>
      </w:r>
      <w:r>
        <w:rPr>
          <w:sz w:val="24"/>
        </w:rPr>
        <w:tab/>
        <w:t xml:space="preserve">Vid rapportering av bruttosoliditet avser ”varav” en post som är en undergrupp till en högre exponeringskategori, medan ”memorandumpost” avser en separat post som inte är en undergrupp till en viss exponeringsklass. Om inte annat anges ska rapportering ske i båda typerna av celler. </w:t>
      </w:r>
    </w:p>
    <w:p w14:paraId="2D525ACC" w14:textId="77777777" w:rsidR="001D6F2F" w:rsidRPr="000B66BC" w:rsidRDefault="00500508" w:rsidP="000B66BC">
      <w:pPr>
        <w:pStyle w:val="BodyText1"/>
        <w:spacing w:after="240"/>
        <w:ind w:left="357" w:hanging="357"/>
        <w:outlineLvl w:val="2"/>
        <w:rPr>
          <w:rFonts w:ascii="Times New Roman" w:hAnsi="Times New Roman"/>
          <w:b/>
          <w:sz w:val="24"/>
          <w:szCs w:val="24"/>
        </w:rPr>
      </w:pPr>
      <w:bookmarkStart w:id="23" w:name="_Toc423089064"/>
      <w:bookmarkStart w:id="24" w:name="_Toc188450098"/>
      <w:r>
        <w:rPr>
          <w:rFonts w:ascii="Times New Roman" w:hAnsi="Times New Roman"/>
          <w:b/>
          <w:sz w:val="24"/>
        </w:rPr>
        <w:t>1.3</w:t>
      </w:r>
      <w:r>
        <w:rPr>
          <w:rFonts w:ascii="Times New Roman" w:hAnsi="Times New Roman"/>
          <w:b/>
          <w:sz w:val="24"/>
        </w:rPr>
        <w:tab/>
        <w:t>Förkortningar</w:t>
      </w:r>
      <w:bookmarkEnd w:id="23"/>
      <w:bookmarkEnd w:id="24"/>
    </w:p>
    <w:p w14:paraId="72197A49" w14:textId="4CE8CABE" w:rsidR="00627E07" w:rsidRPr="000B66BC" w:rsidRDefault="00500508" w:rsidP="009339D1">
      <w:pPr>
        <w:pStyle w:val="InstructionsText2"/>
        <w:numPr>
          <w:ilvl w:val="0"/>
          <w:numId w:val="0"/>
        </w:numPr>
        <w:ind w:left="720" w:hanging="360"/>
        <w:rPr>
          <w:rFonts w:eastAsia="Times New Roman"/>
          <w:bCs/>
          <w:sz w:val="24"/>
        </w:rPr>
      </w:pPr>
      <w:bookmarkStart w:id="25" w:name="_Toc359414279"/>
      <w:bookmarkStart w:id="26" w:name="_Toc322687868"/>
      <w:bookmarkStart w:id="27" w:name="_Toc351048503"/>
      <w:bookmarkStart w:id="28" w:name="_Toc359414280"/>
      <w:bookmarkEnd w:id="25"/>
      <w:r>
        <w:rPr>
          <w:sz w:val="24"/>
        </w:rPr>
        <w:t>8.</w:t>
      </w:r>
      <w:r>
        <w:rPr>
          <w:sz w:val="24"/>
        </w:rPr>
        <w:tab/>
        <w:t>I denna bilaga och i de relevanta mallarna används följande begrepp:</w:t>
      </w:r>
    </w:p>
    <w:p w14:paraId="567537B5" w14:textId="38559007" w:rsidR="00627E07" w:rsidRPr="000B66BC" w:rsidRDefault="00627E07" w:rsidP="009339D1">
      <w:pPr>
        <w:pStyle w:val="InstructionsText2"/>
        <w:numPr>
          <w:ilvl w:val="0"/>
          <w:numId w:val="0"/>
        </w:numPr>
        <w:ind w:left="1440" w:hanging="360"/>
        <w:rPr>
          <w:rFonts w:eastAsia="Times New Roman"/>
          <w:bCs/>
          <w:sz w:val="24"/>
          <w:lang w:eastAsia="de-DE"/>
        </w:rPr>
      </w:pPr>
    </w:p>
    <w:p w14:paraId="69E6F7E3" w14:textId="639EDFA1" w:rsidR="007E2989" w:rsidRPr="000B66BC" w:rsidRDefault="007E2989" w:rsidP="009339D1">
      <w:pPr>
        <w:pStyle w:val="InstructionsText2"/>
        <w:numPr>
          <w:ilvl w:val="0"/>
          <w:numId w:val="0"/>
        </w:numPr>
        <w:ind w:left="1440" w:hanging="360"/>
        <w:rPr>
          <w:rFonts w:eastAsia="Times New Roman"/>
          <w:bCs/>
          <w:sz w:val="24"/>
          <w:lang w:eastAsia="de-DE"/>
        </w:rPr>
      </w:pPr>
    </w:p>
    <w:p w14:paraId="5CC0B733" w14:textId="5D25F616" w:rsidR="00627E07" w:rsidRPr="000B66BC" w:rsidRDefault="007E2989" w:rsidP="009339D1">
      <w:pPr>
        <w:pStyle w:val="InstructionsText2"/>
        <w:numPr>
          <w:ilvl w:val="0"/>
          <w:numId w:val="0"/>
        </w:numPr>
        <w:ind w:left="1440" w:hanging="360"/>
        <w:rPr>
          <w:rFonts w:eastAsia="Times New Roman"/>
          <w:bCs/>
          <w:sz w:val="24"/>
        </w:rPr>
      </w:pPr>
      <w:r>
        <w:rPr>
          <w:sz w:val="24"/>
        </w:rPr>
        <w:t>c.</w:t>
      </w:r>
      <w:r>
        <w:rPr>
          <w:sz w:val="24"/>
        </w:rPr>
        <w:tab/>
        <w:t xml:space="preserve">Transaktioner för värdepappersfinansiering (SFT), dvs. repor, värdepappers- eller råvarulån, transaktioner med lång avvecklingscykel och marginallånetransaktioner enligt artikel </w:t>
      </w:r>
      <w:proofErr w:type="gramStart"/>
      <w:r>
        <w:rPr>
          <w:sz w:val="24"/>
        </w:rPr>
        <w:t>4.1.139</w:t>
      </w:r>
      <w:proofErr w:type="gramEnd"/>
      <w:r>
        <w:rPr>
          <w:sz w:val="24"/>
        </w:rPr>
        <w:t xml:space="preserve"> i förordning (EU) nr 575/2013.</w:t>
      </w:r>
    </w:p>
    <w:p w14:paraId="68410368" w14:textId="7E4CDAEF" w:rsidR="008E7068" w:rsidRPr="000B66BC" w:rsidRDefault="007E2989" w:rsidP="009339D1">
      <w:pPr>
        <w:pStyle w:val="InstructionsText2"/>
        <w:numPr>
          <w:ilvl w:val="0"/>
          <w:numId w:val="0"/>
        </w:numPr>
        <w:ind w:left="1440" w:hanging="360"/>
        <w:rPr>
          <w:rFonts w:eastAsia="Times New Roman"/>
          <w:bCs/>
          <w:sz w:val="24"/>
        </w:rPr>
      </w:pPr>
      <w:r>
        <w:rPr>
          <w:sz w:val="24"/>
        </w:rPr>
        <w:t>d.</w:t>
      </w:r>
      <w:r>
        <w:rPr>
          <w:sz w:val="24"/>
        </w:rPr>
        <w:tab/>
        <w:t>Kreditriskreducering (CRM).</w:t>
      </w:r>
    </w:p>
    <w:p w14:paraId="212C8B7E" w14:textId="6577F157" w:rsidR="007E2989" w:rsidRPr="000B66BC" w:rsidRDefault="007E2989" w:rsidP="009339D1">
      <w:pPr>
        <w:pStyle w:val="InstructionsText2"/>
        <w:numPr>
          <w:ilvl w:val="0"/>
          <w:numId w:val="0"/>
        </w:numPr>
        <w:ind w:left="1440" w:hanging="360"/>
        <w:rPr>
          <w:rFonts w:eastAsia="Times New Roman"/>
          <w:bCs/>
          <w:sz w:val="24"/>
        </w:rPr>
      </w:pPr>
      <w:r>
        <w:rPr>
          <w:sz w:val="24"/>
        </w:rPr>
        <w:t>e.</w:t>
      </w:r>
      <w:r>
        <w:rPr>
          <w:sz w:val="24"/>
        </w:rPr>
        <w:tab/>
        <w:t>Värdepapperscentral (CSD).</w:t>
      </w:r>
    </w:p>
    <w:p w14:paraId="44F02B07" w14:textId="457293D0" w:rsidR="007E2989" w:rsidRPr="000B66BC" w:rsidRDefault="007E2989" w:rsidP="009339D1">
      <w:pPr>
        <w:pStyle w:val="InstructionsText2"/>
        <w:numPr>
          <w:ilvl w:val="0"/>
          <w:numId w:val="0"/>
        </w:numPr>
        <w:ind w:left="1440" w:hanging="360"/>
        <w:rPr>
          <w:rFonts w:eastAsia="Times New Roman"/>
          <w:bCs/>
          <w:sz w:val="24"/>
        </w:rPr>
      </w:pPr>
      <w:r>
        <w:rPr>
          <w:sz w:val="24"/>
        </w:rPr>
        <w:t xml:space="preserve">f. </w:t>
      </w:r>
      <w:r>
        <w:rPr>
          <w:sz w:val="24"/>
        </w:rPr>
        <w:tab/>
        <w:t>Kvalificerad central motpart (QCCP).</w:t>
      </w:r>
    </w:p>
    <w:p w14:paraId="4CAF859B" w14:textId="77777777" w:rsidR="007E2989" w:rsidRPr="000B66BC" w:rsidRDefault="007E2989" w:rsidP="009339D1">
      <w:pPr>
        <w:pStyle w:val="InstructionsText2"/>
        <w:numPr>
          <w:ilvl w:val="0"/>
          <w:numId w:val="0"/>
        </w:numPr>
        <w:ind w:left="1440" w:hanging="360"/>
        <w:rPr>
          <w:rFonts w:eastAsia="Times New Roman"/>
          <w:bCs/>
          <w:sz w:val="24"/>
        </w:rPr>
      </w:pPr>
      <w:r>
        <w:rPr>
          <w:sz w:val="24"/>
        </w:rPr>
        <w:t xml:space="preserve">g. </w:t>
      </w:r>
      <w:r>
        <w:rPr>
          <w:sz w:val="24"/>
        </w:rPr>
        <w:tab/>
        <w:t>Möjlig framtida exponering (PFE).</w:t>
      </w:r>
    </w:p>
    <w:p w14:paraId="04A571E4"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29" w:name="_Toc423089065"/>
      <w:bookmarkStart w:id="30" w:name="_Toc188450099"/>
      <w:r>
        <w:rPr>
          <w:rFonts w:ascii="Times New Roman" w:hAnsi="Times New Roman"/>
          <w:b/>
          <w:sz w:val="24"/>
        </w:rPr>
        <w:t>1.4</w:t>
      </w:r>
      <w:r>
        <w:rPr>
          <w:rFonts w:ascii="Times New Roman" w:hAnsi="Times New Roman"/>
          <w:b/>
          <w:sz w:val="24"/>
        </w:rPr>
        <w:tab/>
        <w:t>Tecken</w:t>
      </w:r>
      <w:bookmarkEnd w:id="14"/>
      <w:bookmarkEnd w:id="15"/>
      <w:bookmarkEnd w:id="26"/>
      <w:bookmarkEnd w:id="27"/>
      <w:bookmarkEnd w:id="28"/>
      <w:bookmarkEnd w:id="29"/>
      <w:bookmarkEnd w:id="30"/>
    </w:p>
    <w:p w14:paraId="077A5720" w14:textId="08AE4F7D" w:rsidR="0058289F" w:rsidRPr="000B66BC" w:rsidRDefault="00500508" w:rsidP="009339D1">
      <w:pPr>
        <w:pStyle w:val="InstructionsText2"/>
        <w:numPr>
          <w:ilvl w:val="0"/>
          <w:numId w:val="0"/>
        </w:numPr>
        <w:ind w:left="720" w:hanging="360"/>
        <w:rPr>
          <w:rFonts w:eastAsia="Times New Roman"/>
          <w:bCs/>
          <w:sz w:val="24"/>
        </w:rPr>
      </w:pPr>
      <w:bookmarkStart w:id="31" w:name="_Toc322687869"/>
      <w:r>
        <w:rPr>
          <w:sz w:val="24"/>
        </w:rPr>
        <w:t>9.</w:t>
      </w:r>
      <w:r>
        <w:rPr>
          <w:sz w:val="24"/>
        </w:rPr>
        <w:tab/>
        <w:t>Alla belopp ska rapporteras som positiva tal.</w:t>
      </w:r>
      <w:bookmarkStart w:id="32" w:name="_Toc264033192"/>
      <w:bookmarkEnd w:id="32"/>
      <w:r>
        <w:rPr>
          <w:sz w:val="24"/>
        </w:rPr>
        <w:t xml:space="preserve"> Undantag är följande:</w:t>
      </w:r>
    </w:p>
    <w:p w14:paraId="7B6D27CF" w14:textId="222C2E2D" w:rsidR="0058289F" w:rsidRPr="000B66BC" w:rsidRDefault="00A5392D" w:rsidP="009339D1">
      <w:pPr>
        <w:pStyle w:val="InstructionsText2"/>
        <w:numPr>
          <w:ilvl w:val="0"/>
          <w:numId w:val="25"/>
        </w:numPr>
        <w:rPr>
          <w:rFonts w:eastAsia="Times New Roman"/>
          <w:bCs/>
          <w:sz w:val="24"/>
        </w:rPr>
      </w:pPr>
      <w:r>
        <w:rPr>
          <w:sz w:val="24"/>
        </w:rPr>
        <w:t>Poster vars namn föregås av ett minustecken (-), där ingen positiv siffra förväntas rapporteras för den posten.</w:t>
      </w:r>
    </w:p>
    <w:p w14:paraId="259D3174" w14:textId="186210E9" w:rsidR="00E40D66" w:rsidRPr="000B66BC" w:rsidRDefault="00E40D66" w:rsidP="009339D1">
      <w:pPr>
        <w:pStyle w:val="InstructionsText2"/>
        <w:numPr>
          <w:ilvl w:val="0"/>
          <w:numId w:val="25"/>
        </w:numPr>
        <w:rPr>
          <w:rFonts w:eastAsia="Times New Roman"/>
          <w:bCs/>
          <w:sz w:val="24"/>
        </w:rPr>
      </w:pPr>
      <w:r>
        <w:rPr>
          <w:sz w:val="24"/>
        </w:rPr>
        <w:t>{LRCalc;0310;0010}, {LRCalc;0320;0010}, {LRCalc;0330;0010}, {LRCalc;0340;0010}, som i extrema fall kan ha negativa värden, annars får de positiva värden.</w:t>
      </w:r>
    </w:p>
    <w:p w14:paraId="1A7EEF5B" w14:textId="10CFE72E" w:rsidR="0060741B" w:rsidRPr="000B66BC" w:rsidRDefault="00C62C1B" w:rsidP="00AB2B09">
      <w:pPr>
        <w:pStyle w:val="InstructionsText2"/>
        <w:numPr>
          <w:ilvl w:val="0"/>
          <w:numId w:val="0"/>
        </w:numPr>
        <w:ind w:left="1080"/>
        <w:rPr>
          <w:rFonts w:eastAsia="Times New Roman"/>
          <w:bCs/>
          <w:sz w:val="24"/>
        </w:rPr>
      </w:pPr>
      <w:r>
        <w:rPr>
          <w:sz w:val="24"/>
        </w:rPr>
        <w:t xml:space="preserve"> </w:t>
      </w:r>
    </w:p>
    <w:p w14:paraId="12B14317" w14:textId="77777777" w:rsidR="001F28C3" w:rsidRPr="000B66BC" w:rsidRDefault="00360A3D" w:rsidP="009339D1">
      <w:pPr>
        <w:pStyle w:val="InstructionsText2"/>
        <w:numPr>
          <w:ilvl w:val="0"/>
          <w:numId w:val="0"/>
        </w:numPr>
        <w:ind w:left="720"/>
        <w:rPr>
          <w:rFonts w:eastAsia="Times New Roman"/>
          <w:bCs/>
          <w:sz w:val="24"/>
        </w:rPr>
      </w:pPr>
      <w:r>
        <w:rPr>
          <w:sz w:val="24"/>
        </w:rPr>
        <w:t xml:space="preserve"> </w:t>
      </w:r>
    </w:p>
    <w:p w14:paraId="35677258" w14:textId="77777777" w:rsidR="00217D1F" w:rsidRPr="00864866" w:rsidRDefault="00F4754B" w:rsidP="000B66BC">
      <w:pPr>
        <w:pStyle w:val="BodyText1"/>
        <w:spacing w:after="240"/>
        <w:outlineLvl w:val="0"/>
        <w:rPr>
          <w:rFonts w:ascii="Times New Roman" w:hAnsi="Times New Roman"/>
          <w:b/>
          <w:sz w:val="24"/>
          <w:szCs w:val="24"/>
        </w:rPr>
      </w:pPr>
      <w:r>
        <w:br w:type="page"/>
      </w:r>
      <w:bookmarkStart w:id="33" w:name="_Toc351048504"/>
      <w:bookmarkStart w:id="34" w:name="_Toc359414281"/>
      <w:bookmarkStart w:id="35" w:name="_Toc423089066"/>
      <w:bookmarkStart w:id="36" w:name="_Toc188450100"/>
      <w:r>
        <w:rPr>
          <w:rFonts w:ascii="Times New Roman" w:hAnsi="Times New Roman"/>
          <w:b/>
          <w:sz w:val="24"/>
        </w:rPr>
        <w:lastRenderedPageBreak/>
        <w:t>DEL II: MALLRELATERADE INSTRUKTIONER</w:t>
      </w:r>
      <w:bookmarkEnd w:id="31"/>
      <w:bookmarkEnd w:id="33"/>
      <w:bookmarkEnd w:id="34"/>
      <w:bookmarkEnd w:id="35"/>
      <w:bookmarkEnd w:id="36"/>
    </w:p>
    <w:p w14:paraId="4C8C375F" w14:textId="77777777" w:rsidR="00505096" w:rsidRPr="000B66BC" w:rsidRDefault="006F588E" w:rsidP="000B66BC">
      <w:pPr>
        <w:pStyle w:val="BodyText1"/>
        <w:spacing w:after="240"/>
        <w:ind w:left="357" w:hanging="357"/>
        <w:outlineLvl w:val="1"/>
        <w:rPr>
          <w:rFonts w:ascii="Times New Roman" w:hAnsi="Times New Roman"/>
          <w:b/>
          <w:sz w:val="24"/>
          <w:szCs w:val="24"/>
        </w:rPr>
      </w:pPr>
      <w:bookmarkStart w:id="37" w:name="_Toc423089068"/>
      <w:bookmarkStart w:id="38" w:name="_Toc359414283"/>
      <w:bookmarkStart w:id="39" w:name="_Toc322533849"/>
      <w:bookmarkStart w:id="40" w:name="_Toc188450101"/>
      <w:r>
        <w:rPr>
          <w:rFonts w:ascii="Times New Roman" w:hAnsi="Times New Roman"/>
          <w:b/>
          <w:sz w:val="24"/>
        </w:rPr>
        <w:t>1.</w:t>
      </w:r>
      <w:r>
        <w:rPr>
          <w:rFonts w:ascii="Times New Roman" w:hAnsi="Times New Roman"/>
          <w:b/>
          <w:sz w:val="24"/>
        </w:rPr>
        <w:tab/>
        <w:t>Formler för beräkning av bruttosoliditetsgrad</w:t>
      </w:r>
      <w:bookmarkEnd w:id="37"/>
      <w:bookmarkEnd w:id="38"/>
      <w:bookmarkEnd w:id="40"/>
    </w:p>
    <w:p w14:paraId="23B05B4C" w14:textId="08E66F21" w:rsidR="00505096"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w:t>
      </w:r>
      <w:r>
        <w:rPr>
          <w:rFonts w:ascii="Times New Roman" w:hAnsi="Times New Roman"/>
          <w:sz w:val="24"/>
        </w:rPr>
        <w:tab/>
        <w:t xml:space="preserve">Bruttosoliditetsgraden baseras på ett kapitalmått och ett totalt exponeringsmått, som kan beräknas med hjälp av celler från </w:t>
      </w:r>
      <w:proofErr w:type="spellStart"/>
      <w:r>
        <w:rPr>
          <w:rFonts w:ascii="Times New Roman" w:hAnsi="Times New Roman"/>
          <w:sz w:val="24"/>
        </w:rPr>
        <w:t>LRCalc</w:t>
      </w:r>
      <w:proofErr w:type="spellEnd"/>
      <w:r>
        <w:rPr>
          <w:rFonts w:ascii="Times New Roman" w:hAnsi="Times New Roman"/>
          <w:sz w:val="24"/>
        </w:rPr>
        <w:t xml:space="preserve">. </w:t>
      </w:r>
    </w:p>
    <w:p w14:paraId="25E094A5" w14:textId="09CDBDB2"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w:t>
      </w:r>
      <w:r>
        <w:rPr>
          <w:rFonts w:ascii="Times New Roman" w:hAnsi="Times New Roman"/>
          <w:sz w:val="24"/>
        </w:rPr>
        <w:tab/>
        <w:t xml:space="preserve">Bruttosoliditetsgrad – fullständigt </w:t>
      </w:r>
      <w:proofErr w:type="spellStart"/>
      <w:r>
        <w:rPr>
          <w:rFonts w:ascii="Times New Roman" w:hAnsi="Times New Roman"/>
          <w:sz w:val="24"/>
        </w:rPr>
        <w:t>infasad</w:t>
      </w:r>
      <w:proofErr w:type="spellEnd"/>
      <w:r>
        <w:rPr>
          <w:rFonts w:ascii="Times New Roman" w:hAnsi="Times New Roman"/>
          <w:sz w:val="24"/>
        </w:rPr>
        <w:t xml:space="preserve"> definition = {LRCalc;0310;0010} / {LRCalc;0290;0010}.</w:t>
      </w:r>
    </w:p>
    <w:p w14:paraId="0177EE20" w14:textId="51F58570" w:rsidR="00B8400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3.</w:t>
      </w:r>
      <w:r>
        <w:rPr>
          <w:rFonts w:ascii="Times New Roman" w:hAnsi="Times New Roman"/>
          <w:sz w:val="24"/>
        </w:rPr>
        <w:tab/>
        <w:t>Bruttosoliditetsgrad – övergångsdefinition = {LRCalc;0320;0010} / {LRCalc;0300;0010}.</w:t>
      </w:r>
    </w:p>
    <w:p w14:paraId="5857476D" w14:textId="11118B79" w:rsidR="00505096" w:rsidRPr="000B66BC" w:rsidRDefault="005F4574" w:rsidP="000B66BC">
      <w:pPr>
        <w:pStyle w:val="BodyText1"/>
        <w:spacing w:after="240"/>
        <w:ind w:left="357" w:hanging="357"/>
        <w:outlineLvl w:val="1"/>
        <w:rPr>
          <w:rFonts w:ascii="Times New Roman" w:hAnsi="Times New Roman"/>
          <w:b/>
          <w:sz w:val="24"/>
          <w:szCs w:val="24"/>
        </w:rPr>
      </w:pPr>
      <w:bookmarkStart w:id="41" w:name="_Toc359414284"/>
      <w:bookmarkStart w:id="42" w:name="_Toc423089069"/>
      <w:bookmarkStart w:id="43" w:name="_Toc322533852"/>
      <w:bookmarkStart w:id="44" w:name="_Toc188450102"/>
      <w:bookmarkEnd w:id="39"/>
      <w:r>
        <w:rPr>
          <w:rFonts w:ascii="Times New Roman" w:hAnsi="Times New Roman"/>
          <w:b/>
          <w:sz w:val="24"/>
        </w:rPr>
        <w:t>2.</w:t>
      </w:r>
      <w:r>
        <w:rPr>
          <w:rFonts w:ascii="Times New Roman" w:hAnsi="Times New Roman"/>
          <w:b/>
          <w:sz w:val="24"/>
        </w:rPr>
        <w:tab/>
        <w:t>Tröskelvärden för derivat</w:t>
      </w:r>
      <w:bookmarkEnd w:id="41"/>
      <w:bookmarkEnd w:id="42"/>
      <w:bookmarkEnd w:id="44"/>
    </w:p>
    <w:p w14:paraId="677B6944" w14:textId="3E22E31F"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4.</w:t>
      </w:r>
      <w:r>
        <w:rPr>
          <w:rFonts w:ascii="Times New Roman" w:hAnsi="Times New Roman"/>
          <w:sz w:val="24"/>
        </w:rPr>
        <w:tab/>
        <w:t>För att minska rapporteringsbördan för institut med begränsade derivatexponeringar ska följande mått tillämpas för att bedöma den relativa vikten av derivatexponeringar för bruttosoliditetsgradens totala exponering. Institut ska beräkna dessa mått på följande sätt</w:t>
      </w:r>
      <w:bookmarkStart w:id="45" w:name="_Toc322533853"/>
      <w:bookmarkEnd w:id="43"/>
      <w:r>
        <w:rPr>
          <w:rFonts w:ascii="Times New Roman" w:hAnsi="Times New Roman"/>
          <w:sz w:val="24"/>
        </w:rPr>
        <w:t>:</w:t>
      </w:r>
    </w:p>
    <w:p w14:paraId="1388E099" w14:textId="5D91362A" w:rsidR="00354188" w:rsidRPr="000B66BC" w:rsidRDefault="006F588E" w:rsidP="000B66BC">
      <w:pPr>
        <w:pStyle w:val="BodyText1"/>
        <w:spacing w:after="240" w:line="240" w:lineRule="auto"/>
        <w:ind w:left="720" w:hanging="360"/>
        <w:rPr>
          <w:rFonts w:ascii="Times New Roman" w:hAnsi="Times New Roman"/>
          <w:sz w:val="24"/>
          <w:szCs w:val="24"/>
        </w:rPr>
      </w:pPr>
      <w:bookmarkStart w:id="46" w:name="_Toc322533854"/>
      <w:bookmarkEnd w:id="45"/>
      <w:r>
        <w:rPr>
          <w:rFonts w:ascii="Times New Roman" w:hAnsi="Times New Roman"/>
          <w:sz w:val="24"/>
        </w:rPr>
        <w:t>5.</w:t>
      </w:r>
      <w:r>
        <w:rPr>
          <w:rFonts w:ascii="Times New Roman" w:hAnsi="Times New Roman"/>
          <w:sz w:val="24"/>
        </w:rPr>
        <w:tab/>
      </w:r>
      <w:proofErr w:type="spellStart"/>
      <w:r>
        <w:rPr>
          <w:rFonts w:ascii="Times New Roman" w:hAnsi="Times New Roman"/>
          <w:sz w:val="24"/>
        </w:rPr>
        <w:t>Derivatandel</w:t>
      </w:r>
      <w:proofErr w:type="spellEnd"/>
      <w:r>
        <w:rPr>
          <w:rFonts w:ascii="Times New Roman" w:hAnsi="Times New Roman"/>
          <w:sz w:val="24"/>
        </w:rPr>
        <w:t xml:space="preserve"> = </w:t>
      </w:r>
      <m:oMath>
        <m:f>
          <m:fPr>
            <m:ctrlPr>
              <w:rPr>
                <w:rFonts w:ascii="Cambria Math" w:hAnsi="Times New Roman"/>
                <w:sz w:val="24"/>
                <w:szCs w:val="24"/>
              </w:rPr>
            </m:ctrlPr>
          </m:fPr>
          <m:num>
            <m:r>
              <m:rPr>
                <m:sty m:val="p"/>
              </m:rPr>
              <w:rPr>
                <w:rFonts w:ascii="Cambria Math" w:hAnsi="Times New Roman"/>
                <w:sz w:val="24"/>
                <w:szCs w:val="24"/>
              </w:rPr>
              <m:t>Exponeringsm</m:t>
            </m:r>
            <m:r>
              <m:rPr>
                <m:sty m:val="p"/>
              </m:rPr>
              <w:rPr>
                <w:rFonts w:ascii="Cambria Math" w:hAnsi="Times New Roman"/>
                <w:sz w:val="24"/>
                <w:szCs w:val="24"/>
              </w:rPr>
              <m:t>å</m:t>
            </m:r>
            <m:r>
              <m:rPr>
                <m:sty m:val="p"/>
              </m:rPr>
              <w:rPr>
                <w:rFonts w:ascii="Cambria Math" w:hAnsi="Times New Roman"/>
                <w:sz w:val="24"/>
                <w:szCs w:val="24"/>
              </w:rPr>
              <m:t>ttet f</m:t>
            </m:r>
            <m:r>
              <m:rPr>
                <m:sty m:val="p"/>
              </m:rPr>
              <w:rPr>
                <w:rFonts w:ascii="Cambria Math" w:hAnsi="Times New Roman"/>
                <w:sz w:val="24"/>
                <w:szCs w:val="24"/>
              </w:rPr>
              <m:t>ö</m:t>
            </m:r>
            <m:r>
              <m:rPr>
                <m:sty m:val="p"/>
              </m:rPr>
              <w:rPr>
                <w:rFonts w:ascii="Cambria Math" w:hAnsi="Times New Roman"/>
                <w:sz w:val="24"/>
                <w:szCs w:val="24"/>
              </w:rPr>
              <m:t>r derivat</m:t>
            </m:r>
          </m:num>
          <m:den>
            <m:r>
              <m:rPr>
                <m:sty m:val="p"/>
              </m:rPr>
              <w:rPr>
                <w:rFonts w:ascii="Cambria Math" w:hAnsi="Times New Roman"/>
                <w:sz w:val="24"/>
                <w:szCs w:val="24"/>
              </w:rPr>
              <m:t>Totalt exponeringsm</m:t>
            </m:r>
            <m:r>
              <m:rPr>
                <m:sty m:val="p"/>
              </m:rPr>
              <w:rPr>
                <w:rFonts w:ascii="Cambria Math" w:hAnsi="Times New Roman"/>
                <w:sz w:val="24"/>
                <w:szCs w:val="24"/>
              </w:rPr>
              <m:t>å</m:t>
            </m:r>
            <m:r>
              <m:rPr>
                <m:sty m:val="p"/>
              </m:rPr>
              <w:rPr>
                <w:rFonts w:ascii="Cambria Math" w:hAnsi="Times New Roman"/>
                <w:sz w:val="24"/>
                <w:szCs w:val="24"/>
              </w:rPr>
              <m:t>tt</m:t>
            </m:r>
          </m:den>
        </m:f>
      </m:oMath>
    </w:p>
    <w:p w14:paraId="59FDE449" w14:textId="7D30F780" w:rsidR="00FC26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6.</w:t>
      </w:r>
      <w:r>
        <w:rPr>
          <w:rFonts w:ascii="Times New Roman" w:hAnsi="Times New Roman"/>
          <w:sz w:val="24"/>
        </w:rPr>
        <w:tab/>
        <w:t>Där exponeringsmåttet för derivat är lika med: {LRCalc;0061;</w:t>
      </w:r>
      <w:proofErr w:type="gramStart"/>
      <w:r>
        <w:rPr>
          <w:rFonts w:ascii="Times New Roman" w:hAnsi="Times New Roman"/>
          <w:sz w:val="24"/>
        </w:rPr>
        <w:t>0010}+</w:t>
      </w:r>
      <w:proofErr w:type="gramEnd"/>
      <w:r>
        <w:rPr>
          <w:rFonts w:ascii="Times New Roman" w:hAnsi="Times New Roman"/>
          <w:sz w:val="24"/>
        </w:rPr>
        <w:t>{LRCalc;0065;0010}+{LRCalc;0071;0010}+{LRCalc;0081;0010}+{LRCalc;0091;0010}+{LRCalc;0092;0010}+{LRCalc;0093;0010}+{LRCalc;0101;0010}+{LRCalc;0102;0010}+{LRCalc;0103;0010}+{LRCalc;0104;0010}+{LRCalc;0110;0010}+{LRCalc;0120;0010}+{LRCalc;0130;0010}+{LRCalc;0140;0010}</w:t>
      </w:r>
    </w:p>
    <w:p w14:paraId="7C2BB4E9" w14:textId="1E407FFF" w:rsidR="00EB7F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7.</w:t>
      </w:r>
      <w:r>
        <w:rPr>
          <w:rFonts w:ascii="Times New Roman" w:hAnsi="Times New Roman"/>
          <w:sz w:val="24"/>
        </w:rPr>
        <w:tab/>
        <w:t>Där det totala exponeringsmåttet motsvarar: {LRCalc;0290;0010}.</w:t>
      </w:r>
    </w:p>
    <w:p w14:paraId="236C5046" w14:textId="3D6A3933"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8.</w:t>
      </w:r>
      <w:r>
        <w:rPr>
          <w:rFonts w:ascii="Times New Roman" w:hAnsi="Times New Roman"/>
          <w:sz w:val="24"/>
        </w:rPr>
        <w:tab/>
        <w:t>Totalt teoretiskt värde som avser derivat = {LR1; 0010;0070}. Institut ska alltid rapportera i denna cell.</w:t>
      </w:r>
    </w:p>
    <w:p w14:paraId="5F8B3FC4" w14:textId="32C9016A"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9.</w:t>
      </w:r>
      <w:r>
        <w:rPr>
          <w:rFonts w:ascii="Times New Roman" w:hAnsi="Times New Roman"/>
          <w:sz w:val="24"/>
        </w:rPr>
        <w:tab/>
        <w:t>Kreditderivatvolym = {LR1;0020;0070} + {LR1;0050;0070}. Institut ska alltid rapportera i dessa celler.</w:t>
      </w:r>
    </w:p>
    <w:p w14:paraId="10930518" w14:textId="07ED25AD"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10.</w:t>
      </w:r>
      <w:r>
        <w:rPr>
          <w:rFonts w:ascii="Times New Roman" w:hAnsi="Times New Roman"/>
          <w:sz w:val="24"/>
        </w:rPr>
        <w:tab/>
        <w:t>Institut är skyldiga att rapportera i de celler som avses i punkt 13 om något av följande villkor är uppfyllda:</w:t>
      </w:r>
    </w:p>
    <w:p w14:paraId="2564CD75" w14:textId="1B9B37E1" w:rsidR="00F4754B" w:rsidRPr="000B66BC" w:rsidRDefault="007A001B" w:rsidP="009339D1">
      <w:pPr>
        <w:pStyle w:val="InstructionsText2"/>
        <w:numPr>
          <w:ilvl w:val="0"/>
          <w:numId w:val="39"/>
        </w:numPr>
        <w:rPr>
          <w:rFonts w:eastAsia="Times New Roman"/>
          <w:bCs/>
          <w:sz w:val="24"/>
        </w:rPr>
      </w:pPr>
      <w:r>
        <w:rPr>
          <w:sz w:val="24"/>
        </w:rPr>
        <w:t>Derivatandelen i punkt 5 är större än 1,5 %.</w:t>
      </w:r>
    </w:p>
    <w:p w14:paraId="272AC9A9" w14:textId="6954E060" w:rsidR="00675587" w:rsidRPr="000B66BC" w:rsidRDefault="007A001B" w:rsidP="009339D1">
      <w:pPr>
        <w:pStyle w:val="InstructionsText2"/>
        <w:numPr>
          <w:ilvl w:val="0"/>
          <w:numId w:val="39"/>
        </w:numPr>
        <w:rPr>
          <w:rFonts w:eastAsia="Times New Roman"/>
          <w:bCs/>
          <w:sz w:val="24"/>
        </w:rPr>
      </w:pPr>
      <w:r>
        <w:rPr>
          <w:sz w:val="24"/>
        </w:rPr>
        <w:t>Derivatandelen i punkt 5 överstiger 2,0 %.</w:t>
      </w:r>
    </w:p>
    <w:p w14:paraId="2F872F2A" w14:textId="7830BBF5" w:rsidR="00242493" w:rsidRPr="000B66BC" w:rsidRDefault="00242493" w:rsidP="009339D1">
      <w:pPr>
        <w:pStyle w:val="InstructionsText2"/>
        <w:numPr>
          <w:ilvl w:val="0"/>
          <w:numId w:val="0"/>
        </w:numPr>
        <w:ind w:left="709" w:firstLine="11"/>
        <w:rPr>
          <w:rFonts w:eastAsia="Times New Roman"/>
          <w:bCs/>
          <w:sz w:val="24"/>
        </w:rPr>
      </w:pPr>
      <w:r>
        <w:rPr>
          <w:sz w:val="24"/>
        </w:rPr>
        <w:t>Inträdes- och utträdeskriterierna i artikel 4 ska tillämpas, med undantag för led b, där instituten ska börja lämna information från och med nästa rapporteringsreferensdatum, om de har överskridit tröskelvärdet vid ett rapporteringsreferensdatum.</w:t>
      </w:r>
    </w:p>
    <w:p w14:paraId="70291EC5" w14:textId="77777777" w:rsidR="00F4754B" w:rsidRPr="000B66BC" w:rsidRDefault="00F4754B" w:rsidP="000B66BC">
      <w:pPr>
        <w:pStyle w:val="BodyText1"/>
        <w:spacing w:after="240" w:line="240" w:lineRule="auto"/>
        <w:rPr>
          <w:rFonts w:ascii="Times New Roman" w:hAnsi="Times New Roman"/>
          <w:sz w:val="24"/>
          <w:szCs w:val="24"/>
        </w:rPr>
      </w:pPr>
    </w:p>
    <w:p w14:paraId="748E5477" w14:textId="35CC7961"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lastRenderedPageBreak/>
        <w:t>11.</w:t>
      </w:r>
      <w:r>
        <w:rPr>
          <w:rFonts w:ascii="Times New Roman" w:hAnsi="Times New Roman"/>
          <w:sz w:val="24"/>
        </w:rPr>
        <w:tab/>
        <w:t xml:space="preserve">Institut för vilka det totala teoretiska beloppet avseende derivat enligt definitionen i punkt 8 i överskrider 10 miljarder euro ska rapportera i de celler som avses i punkt 13, även om deras </w:t>
      </w:r>
      <w:proofErr w:type="spellStart"/>
      <w:r>
        <w:rPr>
          <w:rFonts w:ascii="Times New Roman" w:hAnsi="Times New Roman"/>
          <w:sz w:val="24"/>
        </w:rPr>
        <w:t>derivatandel</w:t>
      </w:r>
      <w:proofErr w:type="spellEnd"/>
      <w:r>
        <w:rPr>
          <w:rFonts w:ascii="Times New Roman" w:hAnsi="Times New Roman"/>
          <w:sz w:val="24"/>
        </w:rPr>
        <w:t xml:space="preserve"> inte uppfyller de villkor som anges i punkt 10.</w:t>
      </w:r>
    </w:p>
    <w:p w14:paraId="48A7F7A1" w14:textId="709E0327" w:rsidR="00242493" w:rsidRPr="000B66BC" w:rsidRDefault="00242493"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ab/>
        <w:t>Inträdeskriterierna i artikel 4</w:t>
      </w:r>
      <w:r>
        <w:rPr>
          <w:sz w:val="24"/>
        </w:rPr>
        <w:t xml:space="preserve"> </w:t>
      </w:r>
      <w:r>
        <w:rPr>
          <w:rFonts w:ascii="Times New Roman" w:hAnsi="Times New Roman"/>
          <w:sz w:val="24"/>
        </w:rPr>
        <w:t>i denna förordning ska inte tillämpas. Instituten ska börja lämna information från och med nästa rapporteringsreferensdatum om de har överskridit tröskelvärdena vid ett rapporteringsreferensdatum.</w:t>
      </w:r>
    </w:p>
    <w:p w14:paraId="49F753AA" w14:textId="0D7F1C4D"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12.</w:t>
      </w:r>
      <w:r>
        <w:rPr>
          <w:rFonts w:ascii="Times New Roman" w:hAnsi="Times New Roman"/>
          <w:sz w:val="24"/>
        </w:rPr>
        <w:tab/>
        <w:t>Institut är skyldiga att rapportera i de celler som avses i punkt 14 om något av följande villkor är uppfyllda:</w:t>
      </w:r>
    </w:p>
    <w:p w14:paraId="3F12E5B0" w14:textId="61844629" w:rsidR="00F4754B" w:rsidRPr="000B66BC" w:rsidRDefault="007A001B" w:rsidP="009339D1">
      <w:pPr>
        <w:pStyle w:val="InstructionsText2"/>
        <w:numPr>
          <w:ilvl w:val="0"/>
          <w:numId w:val="40"/>
        </w:numPr>
        <w:rPr>
          <w:rFonts w:eastAsia="Times New Roman"/>
          <w:bCs/>
          <w:sz w:val="24"/>
        </w:rPr>
      </w:pPr>
      <w:r>
        <w:rPr>
          <w:sz w:val="24"/>
        </w:rPr>
        <w:t>Den kreditderivatvolym som avses i punkt 9 är större än 300 miljoner euro.</w:t>
      </w:r>
    </w:p>
    <w:p w14:paraId="53026947" w14:textId="5B38C368" w:rsidR="00675587" w:rsidRPr="000B66BC" w:rsidRDefault="007A001B" w:rsidP="009339D1">
      <w:pPr>
        <w:pStyle w:val="InstructionsText2"/>
        <w:numPr>
          <w:ilvl w:val="0"/>
          <w:numId w:val="40"/>
        </w:numPr>
        <w:rPr>
          <w:rFonts w:eastAsia="Times New Roman"/>
          <w:bCs/>
          <w:sz w:val="24"/>
        </w:rPr>
      </w:pPr>
      <w:r>
        <w:rPr>
          <w:sz w:val="24"/>
        </w:rPr>
        <w:t>Den kreditderivatvolym som avses i punkt 9 överstiger 500 miljoner euro.</w:t>
      </w:r>
    </w:p>
    <w:p w14:paraId="3B88084F" w14:textId="34241752" w:rsidR="00F4754B" w:rsidRPr="000B66BC" w:rsidRDefault="00242493" w:rsidP="000B66BC">
      <w:pPr>
        <w:pStyle w:val="InstructionsText2"/>
        <w:numPr>
          <w:ilvl w:val="0"/>
          <w:numId w:val="0"/>
        </w:numPr>
        <w:ind w:left="709" w:firstLine="11"/>
        <w:rPr>
          <w:sz w:val="24"/>
        </w:rPr>
      </w:pPr>
      <w:r>
        <w:rPr>
          <w:sz w:val="24"/>
        </w:rPr>
        <w:t>Inträdeskriterierna i artikel 4 ska tillämpas, med undantag för led b, där instituten ska börja rapportera från och med nästa rapporteringsreferensdatum, om de har överskridit tröskelvärdet vid ett rapporteringsreferensdatum.</w:t>
      </w:r>
    </w:p>
    <w:p w14:paraId="6CB3856E" w14:textId="36C7913E"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13.</w:t>
      </w:r>
      <w:r>
        <w:rPr>
          <w:rFonts w:ascii="Times New Roman" w:hAnsi="Times New Roman"/>
          <w:sz w:val="24"/>
        </w:rPr>
        <w:tab/>
        <w:t>Institut måste rapportera i följande celler i enlighet med punkt 10 och 11: {LR1;0010;0010}, {LR1;0010;0020}, {LR1;0020;0010}, {LR1;0020;0020}, {LR1;0030;0070}, {LR1;0040;0070}, {LR1;0050;0010}, {LR1;0050;0020}, {LR1;0060;0010}, {LR1;0060;0020} och {LR1;0060;0070}.</w:t>
      </w:r>
    </w:p>
    <w:p w14:paraId="6F47B92E" w14:textId="36B5B5EF"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14.</w:t>
      </w:r>
      <w:r>
        <w:rPr>
          <w:rFonts w:ascii="Times New Roman" w:hAnsi="Times New Roman"/>
          <w:sz w:val="24"/>
        </w:rPr>
        <w:tab/>
        <w:t>Institut måste rapportera i följande celler i enlighet med punkt 12: {LR1;0020;0075}, {LR1;0050;0075} och {LR1;0050;0085}.</w:t>
      </w:r>
    </w:p>
    <w:p w14:paraId="00E6EF91" w14:textId="4226172D" w:rsidR="00217D1F" w:rsidRPr="000B66BC" w:rsidRDefault="005F4574" w:rsidP="000B66BC">
      <w:pPr>
        <w:pStyle w:val="BodyText1"/>
        <w:spacing w:after="240"/>
        <w:ind w:left="357" w:hanging="357"/>
        <w:outlineLvl w:val="1"/>
        <w:rPr>
          <w:rFonts w:ascii="Times New Roman" w:hAnsi="Times New Roman"/>
          <w:b/>
          <w:sz w:val="24"/>
          <w:szCs w:val="24"/>
        </w:rPr>
      </w:pPr>
      <w:bookmarkStart w:id="47" w:name="_Toc351048506"/>
      <w:bookmarkStart w:id="48" w:name="_Toc359414285"/>
      <w:bookmarkStart w:id="49" w:name="_Toc423089070"/>
      <w:bookmarkStart w:id="50" w:name="_Toc322687879"/>
      <w:bookmarkStart w:id="51" w:name="_Toc315961853"/>
      <w:bookmarkStart w:id="52" w:name="_Toc188450103"/>
      <w:bookmarkEnd w:id="46"/>
      <w:r>
        <w:rPr>
          <w:rFonts w:ascii="Times New Roman" w:hAnsi="Times New Roman"/>
          <w:b/>
          <w:sz w:val="24"/>
        </w:rPr>
        <w:t>3.</w:t>
      </w:r>
      <w:r>
        <w:rPr>
          <w:rFonts w:ascii="Times New Roman" w:hAnsi="Times New Roman"/>
          <w:b/>
          <w:sz w:val="24"/>
        </w:rPr>
        <w:tab/>
        <w:t>C 47.00 – Beräkning av bruttosoliditetsgrad</w:t>
      </w:r>
      <w:bookmarkEnd w:id="47"/>
      <w:bookmarkEnd w:id="48"/>
      <w:r>
        <w:rPr>
          <w:rFonts w:ascii="Times New Roman" w:hAnsi="Times New Roman"/>
          <w:b/>
          <w:sz w:val="24"/>
        </w:rPr>
        <w:t xml:space="preserve"> (</w:t>
      </w:r>
      <w:proofErr w:type="spellStart"/>
      <w:r>
        <w:rPr>
          <w:rFonts w:ascii="Times New Roman" w:hAnsi="Times New Roman"/>
          <w:b/>
          <w:sz w:val="24"/>
        </w:rPr>
        <w:t>LRCalc</w:t>
      </w:r>
      <w:proofErr w:type="spellEnd"/>
      <w:r>
        <w:rPr>
          <w:rFonts w:ascii="Times New Roman" w:hAnsi="Times New Roman"/>
          <w:b/>
          <w:sz w:val="24"/>
        </w:rPr>
        <w:t>)</w:t>
      </w:r>
      <w:bookmarkEnd w:id="49"/>
      <w:bookmarkEnd w:id="52"/>
    </w:p>
    <w:p w14:paraId="5579B71F" w14:textId="78EBED7E"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15.</w:t>
      </w:r>
      <w:r>
        <w:rPr>
          <w:rFonts w:ascii="Times New Roman" w:hAnsi="Times New Roman"/>
          <w:sz w:val="24"/>
        </w:rPr>
        <w:tab/>
        <w:t xml:space="preserve">Denna mall innehåller de uppgifter som behövs för att beräkna bruttosoliditetsgraden enligt definitionen i del sju i förordning (EU) nr 575/2013. </w:t>
      </w:r>
    </w:p>
    <w:p w14:paraId="0E7DE041" w14:textId="23463C95"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16.</w:t>
      </w:r>
      <w:r>
        <w:rPr>
          <w:rFonts w:ascii="Times New Roman" w:hAnsi="Times New Roman"/>
          <w:sz w:val="24"/>
        </w:rPr>
        <w:tab/>
        <w:t>Institut ska rapportera bruttosoliditetsgraden kvartalsvis. Värdet ”på rapporteringsreferensdatumet” för varje kvartal ska vara värdet den sista kalenderdagen i kvartalets tredje månad.</w:t>
      </w:r>
    </w:p>
    <w:p w14:paraId="36716E2F" w14:textId="501E6CBB" w:rsidR="00941862" w:rsidRPr="000B66BC" w:rsidRDefault="008B4710"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17.</w:t>
      </w:r>
      <w:r>
        <w:rPr>
          <w:rFonts w:ascii="Times New Roman" w:hAnsi="Times New Roman"/>
          <w:sz w:val="24"/>
        </w:rPr>
        <w:tab/>
        <w:t>Instituten ska rapportera posterna i avsnittet om exponeringsvärden med positivt tecken i enlighet med teckenkonventionen i del I punkt 9 i denna bilaga (utom {LRCalc;0270;0010} och {LRCalc;0280;0010}) som om posterna med ett negativt tecken (</w:t>
      </w:r>
      <w:proofErr w:type="gramStart"/>
      <w:r>
        <w:rPr>
          <w:rFonts w:ascii="Times New Roman" w:hAnsi="Times New Roman"/>
          <w:sz w:val="24"/>
        </w:rPr>
        <w:t>t.ex.</w:t>
      </w:r>
      <w:proofErr w:type="gramEnd"/>
      <w:r>
        <w:rPr>
          <w:rFonts w:ascii="Times New Roman" w:hAnsi="Times New Roman"/>
          <w:sz w:val="24"/>
        </w:rPr>
        <w:t xml:space="preserve"> undantag/avdrag) i enlighet med teckenkonventionen i del I punkt 9 i denna bilaga inte var tillämpliga.</w:t>
      </w:r>
    </w:p>
    <w:p w14:paraId="725F2D82" w14:textId="2BEB62D8" w:rsidR="00720503" w:rsidRPr="000B66BC" w:rsidRDefault="006F588E" w:rsidP="009339D1">
      <w:pPr>
        <w:pStyle w:val="InstructionsText2"/>
        <w:numPr>
          <w:ilvl w:val="0"/>
          <w:numId w:val="0"/>
        </w:numPr>
        <w:ind w:left="720" w:hanging="360"/>
        <w:rPr>
          <w:sz w:val="24"/>
        </w:rPr>
      </w:pPr>
      <w:r>
        <w:rPr>
          <w:sz w:val="24"/>
        </w:rPr>
        <w:t>18.</w:t>
      </w:r>
      <w:r>
        <w:rPr>
          <w:sz w:val="24"/>
        </w:rPr>
        <w:tab/>
        <w:t>Alla belopp som ökar kapitalbasen eller bruttosoliditetsexponeringen ska rapporteras som positiva belopp. Omvänt ska alla belopp som minskar den totala kapitalbasen eller bruttosoliditetsexponeringen rapporteras som negativa belopp. Om namnet på en post föregås av ett minustecken (-) förväntas inga positiva belopp rapporteras för den posten.</w:t>
      </w:r>
    </w:p>
    <w:p w14:paraId="69E62B50" w14:textId="0E030492" w:rsidR="00EC3422" w:rsidRPr="000B66BC" w:rsidRDefault="006A4991" w:rsidP="009339D1">
      <w:pPr>
        <w:pStyle w:val="InstructionsText2"/>
        <w:numPr>
          <w:ilvl w:val="0"/>
          <w:numId w:val="0"/>
        </w:numPr>
        <w:ind w:left="720" w:hanging="360"/>
        <w:rPr>
          <w:sz w:val="24"/>
        </w:rPr>
      </w:pPr>
      <w:r>
        <w:rPr>
          <w:sz w:val="24"/>
        </w:rPr>
        <w:t>19. Om ett belopp kan berättiga till avdrag på flera grunder ska exponeringen endast minskas med detta belopp i en av raderna i mall C47.00.</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4"/>
        <w:gridCol w:w="7566"/>
      </w:tblGrid>
      <w:tr w:rsidR="00AE2798" w:rsidRPr="00E75BB8" w14:paraId="5579CB50" w14:textId="77777777" w:rsidTr="008979D2">
        <w:trPr>
          <w:trHeight w:val="304"/>
        </w:trPr>
        <w:tc>
          <w:tcPr>
            <w:tcW w:w="1555" w:type="dxa"/>
            <w:gridSpan w:val="2"/>
            <w:shd w:val="clear" w:color="auto" w:fill="D9D9D9"/>
          </w:tcPr>
          <w:p w14:paraId="0C50BBA6" w14:textId="77777777" w:rsidR="00AE2798" w:rsidRPr="000B66BC" w:rsidRDefault="00AE2798" w:rsidP="000B66BC">
            <w:pPr>
              <w:pStyle w:val="BodyText1"/>
              <w:spacing w:after="240"/>
              <w:rPr>
                <w:rFonts w:ascii="Times New Roman" w:hAnsi="Times New Roman"/>
                <w:sz w:val="24"/>
                <w:szCs w:val="24"/>
              </w:rPr>
            </w:pPr>
          </w:p>
        </w:tc>
        <w:tc>
          <w:tcPr>
            <w:tcW w:w="7566" w:type="dxa"/>
            <w:shd w:val="clear" w:color="auto" w:fill="D9D9D9"/>
          </w:tcPr>
          <w:p w14:paraId="103B7EBD" w14:textId="77777777" w:rsidR="00AE2798" w:rsidRPr="000B66BC" w:rsidRDefault="00AE2798" w:rsidP="000B66BC">
            <w:pPr>
              <w:pStyle w:val="BodyText1"/>
              <w:spacing w:after="240"/>
              <w:rPr>
                <w:rFonts w:ascii="Times New Roman" w:hAnsi="Times New Roman"/>
                <w:bCs/>
                <w:sz w:val="24"/>
                <w:szCs w:val="24"/>
                <w:u w:val="single"/>
              </w:rPr>
            </w:pPr>
            <w:r>
              <w:rPr>
                <w:rFonts w:ascii="Times New Roman" w:hAnsi="Times New Roman"/>
                <w:sz w:val="24"/>
              </w:rPr>
              <w:t>Rättsliga hänvisningar och instruktioner</w:t>
            </w:r>
          </w:p>
        </w:tc>
      </w:tr>
      <w:tr w:rsidR="00AE2798" w:rsidRPr="00E75BB8" w14:paraId="699B1E0D" w14:textId="77777777" w:rsidTr="008979D2">
        <w:trPr>
          <w:trHeight w:val="304"/>
        </w:trPr>
        <w:tc>
          <w:tcPr>
            <w:tcW w:w="1555" w:type="dxa"/>
            <w:gridSpan w:val="2"/>
            <w:shd w:val="clear" w:color="auto" w:fill="D9D9D9" w:themeFill="background1" w:themeFillShade="D9"/>
          </w:tcPr>
          <w:p w14:paraId="3C798DCF" w14:textId="77777777" w:rsidR="00AE2798" w:rsidRPr="000B66BC" w:rsidRDefault="00AE2798" w:rsidP="000B66BC">
            <w:pPr>
              <w:pStyle w:val="BodyText1"/>
              <w:spacing w:after="240"/>
              <w:rPr>
                <w:rFonts w:ascii="Times New Roman" w:hAnsi="Times New Roman"/>
                <w:b/>
                <w:sz w:val="24"/>
                <w:szCs w:val="24"/>
              </w:rPr>
            </w:pPr>
            <w:r>
              <w:rPr>
                <w:rFonts w:ascii="Times New Roman" w:hAnsi="Times New Roman"/>
                <w:b/>
                <w:sz w:val="24"/>
              </w:rPr>
              <w:t>Rad och kolumn</w:t>
            </w:r>
          </w:p>
        </w:tc>
        <w:tc>
          <w:tcPr>
            <w:tcW w:w="7566" w:type="dxa"/>
            <w:shd w:val="clear" w:color="auto" w:fill="D9D9D9" w:themeFill="background1" w:themeFillShade="D9"/>
          </w:tcPr>
          <w:p w14:paraId="1E421E8F" w14:textId="77777777" w:rsidR="00AE2798" w:rsidRPr="000B66BC" w:rsidRDefault="00AE2798" w:rsidP="000B66BC">
            <w:pPr>
              <w:pStyle w:val="BodyText1"/>
              <w:spacing w:after="240"/>
              <w:rPr>
                <w:rFonts w:ascii="Times New Roman" w:hAnsi="Times New Roman"/>
                <w:b/>
                <w:bCs/>
                <w:sz w:val="24"/>
                <w:szCs w:val="24"/>
              </w:rPr>
            </w:pPr>
            <w:r>
              <w:rPr>
                <w:rFonts w:ascii="Times New Roman" w:hAnsi="Times New Roman"/>
                <w:b/>
                <w:sz w:val="24"/>
              </w:rPr>
              <w:t>Exponeringsvärden</w:t>
            </w:r>
          </w:p>
        </w:tc>
      </w:tr>
      <w:tr w:rsidR="00AE2798" w:rsidRPr="00E75BB8" w14:paraId="2DE0B580" w14:textId="77777777" w:rsidTr="008979D2">
        <w:trPr>
          <w:trHeight w:val="304"/>
        </w:trPr>
        <w:tc>
          <w:tcPr>
            <w:tcW w:w="1555" w:type="dxa"/>
            <w:gridSpan w:val="2"/>
            <w:shd w:val="clear" w:color="auto" w:fill="auto"/>
          </w:tcPr>
          <w:p w14:paraId="7EDCCB36" w14:textId="20E5281F"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{0010;0010}</w:t>
            </w:r>
          </w:p>
        </w:tc>
        <w:tc>
          <w:tcPr>
            <w:tcW w:w="7566" w:type="dxa"/>
            <w:shd w:val="clear" w:color="auto" w:fill="auto"/>
          </w:tcPr>
          <w:p w14:paraId="776CC56F" w14:textId="3D6EA3A4" w:rsidR="00AE2798" w:rsidRPr="000B66BC" w:rsidRDefault="00AE2798" w:rsidP="000B66BC">
            <w:pPr>
              <w:pStyle w:val="BodyText1"/>
              <w:spacing w:after="240" w:line="240" w:lineRule="auto"/>
              <w:rPr>
                <w:rFonts w:ascii="Times New Roman" w:hAnsi="Times New Roman"/>
                <w:b/>
                <w:bCs/>
                <w:sz w:val="24"/>
                <w:szCs w:val="24"/>
                <w:u w:val="single"/>
              </w:rPr>
            </w:pPr>
            <w:r>
              <w:rPr>
                <w:rFonts w:ascii="Times New Roman" w:hAnsi="Times New Roman"/>
                <w:b/>
                <w:sz w:val="24"/>
              </w:rPr>
              <w:t xml:space="preserve">Transaktioner för värdepappersfinansiering: Exponeringsvärde </w:t>
            </w:r>
          </w:p>
          <w:p w14:paraId="24BF7807" w14:textId="24D30A04" w:rsidR="00962812" w:rsidRPr="000B66BC" w:rsidRDefault="00962812" w:rsidP="000B66BC">
            <w:pPr>
              <w:pStyle w:val="BodyText1"/>
              <w:spacing w:after="240" w:line="240" w:lineRule="auto"/>
              <w:rPr>
                <w:rFonts w:ascii="Times New Roman" w:hAnsi="Times New Roman"/>
                <w:sz w:val="24"/>
                <w:szCs w:val="24"/>
              </w:rPr>
            </w:pPr>
            <w:r>
              <w:rPr>
                <w:rFonts w:ascii="Times New Roman" w:hAnsi="Times New Roman"/>
                <w:sz w:val="24"/>
              </w:rPr>
              <w:t>Artikel 429b.1 b, 429b.4 och 429b.5 i förordning (EU) nr 575/2013</w:t>
            </w:r>
          </w:p>
          <w:p w14:paraId="4DADBAA1" w14:textId="4F33FF0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Exponeringen för transaktioner för värdepappersfinansiering beräknad i enlighet med artikel 429b.1 b, 429b.4 och 429b.5 i förordning (EU) nr 575/2013</w:t>
            </w:r>
          </w:p>
          <w:p w14:paraId="7B519931" w14:textId="18CBF65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 denna cell ska instituten beakta transaktioner i enlighet med artikel 429e.7 c i förordning (EU) nr 575/2013.</w:t>
            </w:r>
          </w:p>
          <w:p w14:paraId="2DB53AA1" w14:textId="46DA276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 denna cell ska institut inte inkludera mottagna kontanter eller värdepapper som lämnas till en motpart genom ovannämnda transaktioner och som tas med i balansräkningen (dvs. redovisningskraven för borttagning uppfylls inte). Institut ska i stället inkludera sådana poster i {0190;0010}.</w:t>
            </w:r>
          </w:p>
          <w:p w14:paraId="3B9A69FC" w14:textId="63B5CA3B" w:rsidR="00AE2798" w:rsidRPr="000B66BC" w:rsidRDefault="00AE2798" w:rsidP="000B66BC">
            <w:pPr>
              <w:pStyle w:val="BodyText1"/>
              <w:spacing w:after="240" w:line="240" w:lineRule="auto"/>
              <w:rPr>
                <w:rFonts w:ascii="Times New Roman" w:hAnsi="Times New Roman"/>
                <w:bCs/>
                <w:sz w:val="24"/>
                <w:szCs w:val="24"/>
                <w:u w:val="single"/>
              </w:rPr>
            </w:pPr>
            <w:r>
              <w:rPr>
                <w:rFonts w:ascii="Times New Roman" w:hAnsi="Times New Roman"/>
                <w:sz w:val="24"/>
              </w:rPr>
              <w:t>I denna cell ska institut inte inkludera transaktioner för värdepappersfinansiering där institutet agerar ombud och ger en ersättning eller garanti till en kund eller motpart som är begränsad till skillnaden mellan värdet på det värdepapper eller det belopp i kontanter som kunden har lånat ut, och värdet på den säkerhet som låntagaren har ställt i enlighet med artikel 429e.7 a i förordning (EU) nr 575/2013.</w:t>
            </w:r>
          </w:p>
        </w:tc>
      </w:tr>
      <w:tr w:rsidR="00AE2798" w:rsidRPr="00E75BB8" w14:paraId="76B5A234" w14:textId="77777777" w:rsidTr="008979D2">
        <w:trPr>
          <w:trHeight w:val="304"/>
        </w:trPr>
        <w:tc>
          <w:tcPr>
            <w:tcW w:w="1555" w:type="dxa"/>
            <w:gridSpan w:val="2"/>
          </w:tcPr>
          <w:p w14:paraId="209FB7E2" w14:textId="457D2517"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{0020;0010}</w:t>
            </w:r>
          </w:p>
        </w:tc>
        <w:tc>
          <w:tcPr>
            <w:tcW w:w="7566" w:type="dxa"/>
          </w:tcPr>
          <w:p w14:paraId="2A5E1E69" w14:textId="77777777"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sz w:val="24"/>
              </w:rPr>
              <w:t>Transaktioner för värdepappersfinansiering: Tillägg för motpartsrisker</w:t>
            </w:r>
          </w:p>
          <w:p w14:paraId="54D8230E" w14:textId="501C31D8" w:rsidR="00AE2798" w:rsidRPr="005A5E25"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Artikel 429e.1 i förordning (EU) nr 575/2013</w:t>
            </w:r>
          </w:p>
          <w:p w14:paraId="74373937" w14:textId="64B10156"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Tillägget för motpartsrisker vid transaktioner för värdepappersfinansiering, inbegripet transaktioner utanför balansräkningen, fastställt i enlighet med artikel 429e.2 eller 429e.3 och 429e.4 i förordning (EU) nr 575/2013, beroende på vad som är tillämpligt.</w:t>
            </w:r>
          </w:p>
          <w:p w14:paraId="22B58EAB" w14:textId="758D203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 denna cell ska instituten beakta transaktioner i enlighet med artikel 429e.7 c i förordning (EU) nr 575/2013.</w:t>
            </w:r>
          </w:p>
          <w:p w14:paraId="68CF607E" w14:textId="421A1EB2"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 denna cell ska institut inte inkludera transaktioner för värdepappersfinansiering där institutet agerar ombud och ger en ersättning eller garanti till en kund eller motpart som är begränsad till skillnaden mellan värdet på det värdepapper eller det belopp i kontanter som kunden har lånat ut, och värdet på den säkerhet som låntagaren har ställt i enlighet med artikel 429e.7 a i förordning (EU) nr 575/2013. Institut ska i stället inkludera sådana poster i {0040;0010}.</w:t>
            </w:r>
          </w:p>
        </w:tc>
      </w:tr>
      <w:tr w:rsidR="00AE2798" w:rsidRPr="00E75BB8" w14:paraId="0276DE00" w14:textId="77777777" w:rsidTr="008979D2">
        <w:trPr>
          <w:trHeight w:val="304"/>
        </w:trPr>
        <w:tc>
          <w:tcPr>
            <w:tcW w:w="1555" w:type="dxa"/>
            <w:gridSpan w:val="2"/>
          </w:tcPr>
          <w:p w14:paraId="311C9C54" w14:textId="6BFA55DF"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lastRenderedPageBreak/>
              <w:t>{0030;0010}</w:t>
            </w:r>
          </w:p>
          <w:p w14:paraId="31A60AAC" w14:textId="77777777" w:rsidR="00AE2798" w:rsidRPr="000B66BC" w:rsidRDefault="00AE2798" w:rsidP="000B66BC">
            <w:pPr>
              <w:pStyle w:val="BodyText1"/>
              <w:spacing w:after="240"/>
              <w:rPr>
                <w:rFonts w:ascii="Times New Roman" w:hAnsi="Times New Roman"/>
                <w:bCs/>
                <w:sz w:val="24"/>
                <w:szCs w:val="24"/>
              </w:rPr>
            </w:pPr>
          </w:p>
        </w:tc>
        <w:tc>
          <w:tcPr>
            <w:tcW w:w="7566" w:type="dxa"/>
          </w:tcPr>
          <w:p w14:paraId="49F43F40" w14:textId="6B3311A4"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sz w:val="24"/>
              </w:rPr>
              <w:t>Undantag för transaktioner för värdepappersfinansiering: Tillägg i enlighet med artiklarna 429e.5 och 222 i CRR</w:t>
            </w:r>
          </w:p>
          <w:p w14:paraId="2D39F187" w14:textId="7F18736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Artiklarna 429e.5 och 222 i förordning (EU) nr 575/2013</w:t>
            </w:r>
          </w:p>
          <w:p w14:paraId="738B5B54" w14:textId="680FD6A3"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 xml:space="preserve">Exponeringsvärdet för transaktioner för värdepappersfinansiering, inbegripet transaktioner utanför balansräkningen, beräknat i enlighet med artikel 222 i förordning (EU) nr 575/2013 med en riskvikt på minst 20 %. </w:t>
            </w:r>
          </w:p>
          <w:p w14:paraId="3D5D2C18" w14:textId="42AA0940"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 denna cell ska instituten beakta transaktioner i enlighet med artikel 429e.7 c i förordning (EU) nr 575/2013.</w:t>
            </w:r>
          </w:p>
          <w:p w14:paraId="29AD8FEA" w14:textId="1031B48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 denna cell ska instituten inte beakta transaktioner för vilka tilläggsdelen i bruttosoliditetsgradens exponeringsvärde fastställs i enlighet med den metod som avses i artikel 429e.1 i förordning (EU) nr 575/2013.</w:t>
            </w:r>
          </w:p>
        </w:tc>
      </w:tr>
      <w:tr w:rsidR="00AE2798" w:rsidRPr="00E75BB8" w14:paraId="5E04553E" w14:textId="77777777" w:rsidTr="008979D2">
        <w:trPr>
          <w:trHeight w:val="304"/>
        </w:trPr>
        <w:tc>
          <w:tcPr>
            <w:tcW w:w="1555" w:type="dxa"/>
            <w:gridSpan w:val="2"/>
          </w:tcPr>
          <w:p w14:paraId="252F5F3F" w14:textId="40B73EF4"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{0040;0010}</w:t>
            </w:r>
          </w:p>
        </w:tc>
        <w:tc>
          <w:tcPr>
            <w:tcW w:w="7566" w:type="dxa"/>
          </w:tcPr>
          <w:p w14:paraId="2565C50A" w14:textId="2E53ED6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
                <w:sz w:val="24"/>
              </w:rPr>
              <w:t xml:space="preserve">Motpartsrisker vid transaktioner för värdepappersfinansiering för vilka institutet agerar ombud </w:t>
            </w:r>
          </w:p>
          <w:p w14:paraId="475F166E" w14:textId="5DE704BE" w:rsidR="00E1045E"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sz w:val="24"/>
              </w:rPr>
              <w:t>Artikel 429e.7 a, 429e.2 och 429e.3 i förordning (EU) nr 575/2013</w:t>
            </w:r>
          </w:p>
          <w:p w14:paraId="1619B100" w14:textId="611A2DC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Exponeringsvärdet för transaktioner för värdepappersfinansiering, där institutet agerar ombud och tillhandahåller en kund eller en motpart en ersättning eller garanti som begränsas till skillnaden mellan värdet på det värdepapper eller det belopp i kontanter som kunden har lånat ut och värdet på den säkerhet som låntagaren har ställt i enlighet med artikel 429e.7 a i förordning (EU) nr 575/2013, ska endast innefatta det tillägg som fastställs i enlighet med artikel 429e.2 eller 429e.3 i förordning (EU) nr 575/2013.</w:t>
            </w:r>
          </w:p>
          <w:p w14:paraId="138E8801" w14:textId="61A2D011"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Institut ska inte inkludera transaktioner i enlighet med artikel 429e.7 c i denna cell. Institut ska i stället inkludera sådana poster i {0010;0010} och {0020;0010} eller {0010;0010} och {0030;0010}.</w:t>
            </w:r>
          </w:p>
        </w:tc>
      </w:tr>
      <w:tr w:rsidR="00AE2798" w:rsidRPr="00E75BB8" w14:paraId="730C9B47" w14:textId="77777777" w:rsidTr="008979D2">
        <w:trPr>
          <w:trHeight w:val="304"/>
        </w:trPr>
        <w:tc>
          <w:tcPr>
            <w:tcW w:w="1555" w:type="dxa"/>
            <w:gridSpan w:val="2"/>
          </w:tcPr>
          <w:p w14:paraId="67472548" w14:textId="3E8951DA"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{0050;0010}</w:t>
            </w:r>
          </w:p>
        </w:tc>
        <w:tc>
          <w:tcPr>
            <w:tcW w:w="7566" w:type="dxa"/>
          </w:tcPr>
          <w:p w14:paraId="2F6E1B5E" w14:textId="77777777" w:rsidR="00AE2798" w:rsidRPr="000B66BC" w:rsidRDefault="005556DC" w:rsidP="000B66BC">
            <w:pPr>
              <w:pStyle w:val="BodyText1"/>
              <w:spacing w:after="240" w:line="240" w:lineRule="auto"/>
              <w:rPr>
                <w:rFonts w:ascii="Times New Roman" w:hAnsi="Times New Roman"/>
                <w:bCs/>
                <w:sz w:val="24"/>
                <w:szCs w:val="24"/>
              </w:rPr>
            </w:pPr>
            <w:r>
              <w:rPr>
                <w:rFonts w:ascii="Times New Roman" w:hAnsi="Times New Roman"/>
                <w:b/>
                <w:sz w:val="24"/>
              </w:rPr>
              <w:t>(–) Undantagen central motpartsdel vid exponeringar mot transaktioner för värdepappersfinansiering som clearats av kunden</w:t>
            </w:r>
          </w:p>
          <w:p w14:paraId="1B6574CC" w14:textId="445B8DBB" w:rsidR="00AE2798"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sz w:val="24"/>
              </w:rPr>
              <w:t xml:space="preserve">Artiklarna 429a.1 g och </w:t>
            </w:r>
            <w:proofErr w:type="gramStart"/>
            <w:r>
              <w:rPr>
                <w:rFonts w:ascii="Times New Roman" w:hAnsi="Times New Roman"/>
                <w:sz w:val="24"/>
              </w:rPr>
              <w:t>306.1</w:t>
            </w:r>
            <w:proofErr w:type="gramEnd"/>
            <w:r>
              <w:rPr>
                <w:rFonts w:ascii="Times New Roman" w:hAnsi="Times New Roman"/>
                <w:sz w:val="24"/>
              </w:rPr>
              <w:t> c i förordning (EU) nr 575/2013</w:t>
            </w:r>
          </w:p>
          <w:p w14:paraId="5E6D8E3F" w14:textId="0759064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 xml:space="preserve">Undantagen central motpartsdel av handelsexponeringar mot transaktioner för värdepappersfinansiering som clearats av kunden, förutsatt att dessa poster uppfyller kraven som fastställs i artikel </w:t>
            </w:r>
            <w:proofErr w:type="gramStart"/>
            <w:r>
              <w:rPr>
                <w:rFonts w:ascii="Times New Roman" w:hAnsi="Times New Roman"/>
                <w:sz w:val="24"/>
              </w:rPr>
              <w:t>306.1</w:t>
            </w:r>
            <w:proofErr w:type="gramEnd"/>
            <w:r>
              <w:rPr>
                <w:rFonts w:ascii="Times New Roman" w:hAnsi="Times New Roman"/>
                <w:sz w:val="24"/>
              </w:rPr>
              <w:t xml:space="preserve"> c i förordning (EU) nr 575/2013.</w:t>
            </w:r>
          </w:p>
          <w:p w14:paraId="39011247" w14:textId="7D52358B" w:rsidR="004052F0" w:rsidRPr="000B66BC" w:rsidRDefault="004052F0" w:rsidP="000B66BC">
            <w:pPr>
              <w:pStyle w:val="BodyText1"/>
              <w:spacing w:after="240" w:line="240" w:lineRule="auto"/>
              <w:rPr>
                <w:rFonts w:ascii="Times New Roman" w:hAnsi="Times New Roman"/>
                <w:bCs/>
                <w:sz w:val="24"/>
                <w:szCs w:val="24"/>
              </w:rPr>
            </w:pPr>
            <w:r>
              <w:rPr>
                <w:rFonts w:ascii="Times New Roman" w:hAnsi="Times New Roman"/>
                <w:sz w:val="24"/>
              </w:rPr>
              <w:t>När det undantagna motpartsledet är ett värdepapper, ska det inte rapporteras i denna cell, såvida det inte är ett pantsatt värdepapper som enligt de tillämpliga redovisningsreglerna (dvs. i enlighet med artikel 111.1 första meningen i förordning (EU) nr 575/2013) inkluderas till fulla värdet.</w:t>
            </w:r>
          </w:p>
          <w:p w14:paraId="0885E19A" w14:textId="55DD0357" w:rsidR="00AF6C6D" w:rsidRPr="000B66BC" w:rsidRDefault="005A1D6D" w:rsidP="000B66BC">
            <w:pPr>
              <w:pStyle w:val="BodyText1"/>
              <w:spacing w:after="240" w:line="240" w:lineRule="auto"/>
              <w:rPr>
                <w:rFonts w:ascii="Times New Roman" w:hAnsi="Times New Roman"/>
                <w:bCs/>
                <w:sz w:val="24"/>
                <w:szCs w:val="24"/>
              </w:rPr>
            </w:pPr>
            <w:r>
              <w:rPr>
                <w:rFonts w:ascii="Times New Roman" w:hAnsi="Times New Roman"/>
                <w:sz w:val="24"/>
              </w:rPr>
              <w:t xml:space="preserve">Instituten ska, som om inget undantag tillämpas, även inkludera det belopp som rapporteras i denna cell i {0010;0010}, {0020;0010} och {0030;0010}, </w:t>
            </w:r>
            <w:r>
              <w:rPr>
                <w:rFonts w:ascii="Times New Roman" w:hAnsi="Times New Roman"/>
                <w:sz w:val="24"/>
              </w:rPr>
              <w:lastRenderedPageBreak/>
              <w:t>och om det är ett pantsatt värdepapper som enligt de tillämpliga redovisningsreglerna inkluderas till fulla värdet, dessutom i {0190;0010}.</w:t>
            </w:r>
          </w:p>
          <w:p w14:paraId="2D82192D" w14:textId="03F34C36" w:rsidR="00AE2798" w:rsidRPr="000B66BC" w:rsidRDefault="00AF6C6D" w:rsidP="000B66BC">
            <w:pPr>
              <w:pStyle w:val="BodyText1"/>
              <w:spacing w:after="240" w:line="240" w:lineRule="auto"/>
              <w:rPr>
                <w:rFonts w:ascii="Times New Roman" w:hAnsi="Times New Roman"/>
                <w:bCs/>
                <w:sz w:val="24"/>
                <w:szCs w:val="24"/>
              </w:rPr>
            </w:pPr>
            <w:r>
              <w:rPr>
                <w:rFonts w:ascii="Times New Roman" w:hAnsi="Times New Roman"/>
                <w:sz w:val="24"/>
              </w:rPr>
              <w:t>Om initial marginalsäkerhet ställts av institutet för en undantagen del av en transaktion för värdepappersfinansiering som rapporteras i {0190;0010} och inte rapporteras i {0020;0010} eller {0030;0010}, kan institutet rapportera detta i denna cell.</w:t>
            </w:r>
          </w:p>
        </w:tc>
      </w:tr>
      <w:tr w:rsidR="00AA0445" w:rsidRPr="00E75BB8" w14:paraId="22358CE2" w14:textId="77777777" w:rsidTr="008979D2">
        <w:trPr>
          <w:trHeight w:val="304"/>
        </w:trPr>
        <w:tc>
          <w:tcPr>
            <w:tcW w:w="1555" w:type="dxa"/>
            <w:gridSpan w:val="2"/>
            <w:tcBorders>
              <w:bottom w:val="single" w:sz="4" w:space="0" w:color="auto"/>
            </w:tcBorders>
          </w:tcPr>
          <w:p w14:paraId="45ADDB05" w14:textId="0401F47D" w:rsidR="00AE3377" w:rsidRPr="000B66BC" w:rsidRDefault="00AE3377" w:rsidP="000B66BC">
            <w:pPr>
              <w:pStyle w:val="BodyText1"/>
              <w:spacing w:after="240"/>
              <w:rPr>
                <w:rFonts w:ascii="Times New Roman" w:hAnsi="Times New Roman"/>
                <w:bCs/>
                <w:sz w:val="24"/>
                <w:szCs w:val="24"/>
              </w:rPr>
            </w:pPr>
            <w:r>
              <w:rPr>
                <w:rFonts w:ascii="Times New Roman" w:hAnsi="Times New Roman"/>
                <w:sz w:val="24"/>
              </w:rPr>
              <w:lastRenderedPageBreak/>
              <w:t>{0061;0010}</w:t>
            </w:r>
          </w:p>
          <w:p w14:paraId="39B81BC5" w14:textId="77777777" w:rsidR="00AE3377" w:rsidRPr="000B66BC" w:rsidRDefault="00AE3377" w:rsidP="000B66BC">
            <w:pPr>
              <w:pStyle w:val="BodyText1"/>
              <w:spacing w:after="240"/>
              <w:rPr>
                <w:rFonts w:ascii="Times New Roman" w:hAnsi="Times New Roman"/>
                <w:bCs/>
                <w:sz w:val="24"/>
                <w:szCs w:val="24"/>
              </w:rPr>
            </w:pPr>
          </w:p>
          <w:p w14:paraId="670E1CF2" w14:textId="77777777" w:rsidR="00AA0445" w:rsidRPr="000B66BC"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23795B97" w14:textId="5A0D0C24" w:rsidR="00AE3377" w:rsidRPr="000B66BC" w:rsidRDefault="00AE3377" w:rsidP="000B66BC">
            <w:pPr>
              <w:pStyle w:val="BodyText1"/>
              <w:spacing w:after="240" w:line="240" w:lineRule="auto"/>
              <w:rPr>
                <w:rFonts w:ascii="Times New Roman" w:hAnsi="Times New Roman"/>
                <w:bCs/>
                <w:sz w:val="24"/>
                <w:szCs w:val="24"/>
              </w:rPr>
            </w:pPr>
            <w:r>
              <w:rPr>
                <w:rFonts w:ascii="Times New Roman" w:hAnsi="Times New Roman"/>
                <w:b/>
                <w:sz w:val="24"/>
              </w:rPr>
              <w:t xml:space="preserve">Derivat: bidrag till ersättningskostnad enligt schablonmetoden för motpartskreditrisk (utan effekten av säkerheter på NICA) </w:t>
            </w:r>
          </w:p>
          <w:p w14:paraId="303004A2" w14:textId="377F9233" w:rsidR="00AA0445" w:rsidRPr="00D51F9E" w:rsidRDefault="00AA0445" w:rsidP="000B66BC">
            <w:pPr>
              <w:pStyle w:val="BodyText1"/>
              <w:spacing w:after="240" w:line="240" w:lineRule="auto"/>
              <w:rPr>
                <w:rFonts w:ascii="Times New Roman" w:hAnsi="Times New Roman"/>
                <w:bCs/>
                <w:sz w:val="24"/>
                <w:szCs w:val="24"/>
              </w:rPr>
            </w:pPr>
            <w:r>
              <w:rPr>
                <w:rFonts w:ascii="Times New Roman" w:hAnsi="Times New Roman"/>
                <w:sz w:val="24"/>
              </w:rPr>
              <w:t>Artikel 429c.1 i förordning (EU) nr 575/2013</w:t>
            </w:r>
          </w:p>
          <w:p w14:paraId="3B8148BD" w14:textId="4F445033" w:rsidR="000864F6" w:rsidRPr="000B66BC" w:rsidRDefault="004E204E" w:rsidP="000B66BC">
            <w:pPr>
              <w:pStyle w:val="BodyText1"/>
              <w:spacing w:after="240" w:line="240" w:lineRule="auto"/>
              <w:rPr>
                <w:rFonts w:ascii="Times New Roman" w:hAnsi="Times New Roman"/>
                <w:bCs/>
                <w:sz w:val="24"/>
                <w:szCs w:val="24"/>
              </w:rPr>
            </w:pPr>
            <w:r>
              <w:rPr>
                <w:rFonts w:ascii="Times New Roman" w:hAnsi="Times New Roman"/>
                <w:sz w:val="24"/>
              </w:rPr>
              <w:t>Ersättningskostnaden enligt artikel 275 i förordning (EU) nr 575/2013 utan effekten av säkerheter på NICA och utan effekten av någon variationsmarginalsäkerhet. Instituten ska inte tillämpa undantagen i artikel 429c.3, 429c.4 och artikel 429a.1 g i förordning (EU) nr 575/2013 för denna cell. Beloppet ska rapporteras med den alfa-faktor på 1,4 som tillämpas i enlighet med artikel 274.2 i förordning (EU) nr 575/2013.</w:t>
            </w:r>
          </w:p>
          <w:p w14:paraId="69D03BFF" w14:textId="7C94597B" w:rsidR="000864F6" w:rsidRDefault="000864F6" w:rsidP="000B66BC">
            <w:pPr>
              <w:pStyle w:val="BodyText1"/>
              <w:spacing w:after="240" w:line="240" w:lineRule="auto"/>
              <w:rPr>
                <w:rFonts w:ascii="Times New Roman" w:hAnsi="Times New Roman"/>
                <w:bCs/>
                <w:sz w:val="24"/>
                <w:szCs w:val="24"/>
              </w:rPr>
            </w:pPr>
            <w:r>
              <w:rPr>
                <w:rFonts w:ascii="Times New Roman" w:hAnsi="Times New Roman"/>
                <w:sz w:val="24"/>
              </w:rPr>
              <w:t xml:space="preserve">Som fastställs i artikel 429c.1 i förordning (EU) nr 575/2013 får instituten beakta effekten av avtal om novation och andra </w:t>
            </w:r>
            <w:proofErr w:type="spellStart"/>
            <w:r>
              <w:rPr>
                <w:rFonts w:ascii="Times New Roman" w:hAnsi="Times New Roman"/>
                <w:sz w:val="24"/>
              </w:rPr>
              <w:t>nettningsöverenskommelser</w:t>
            </w:r>
            <w:proofErr w:type="spellEnd"/>
            <w:r>
              <w:rPr>
                <w:rFonts w:ascii="Times New Roman" w:hAnsi="Times New Roman"/>
                <w:sz w:val="24"/>
              </w:rPr>
              <w:t xml:space="preserve"> i enlighet med artikel 295 i förordning (EU) nr 575/2013. Produktövergripande nettning ska inte tillämpas. Instituten får emellertid </w:t>
            </w:r>
            <w:proofErr w:type="spellStart"/>
            <w:r>
              <w:rPr>
                <w:rFonts w:ascii="Times New Roman" w:hAnsi="Times New Roman"/>
                <w:sz w:val="24"/>
              </w:rPr>
              <w:t>netta</w:t>
            </w:r>
            <w:proofErr w:type="spellEnd"/>
            <w:r>
              <w:rPr>
                <w:rFonts w:ascii="Times New Roman" w:hAnsi="Times New Roman"/>
                <w:sz w:val="24"/>
              </w:rPr>
              <w:t xml:space="preserve"> inom den produktkategori som avses i artikel </w:t>
            </w:r>
            <w:proofErr w:type="gramStart"/>
            <w:r>
              <w:rPr>
                <w:rFonts w:ascii="Times New Roman" w:hAnsi="Times New Roman"/>
                <w:sz w:val="24"/>
              </w:rPr>
              <w:t>272.25</w:t>
            </w:r>
            <w:proofErr w:type="gramEnd"/>
            <w:r>
              <w:rPr>
                <w:rFonts w:ascii="Times New Roman" w:hAnsi="Times New Roman"/>
                <w:sz w:val="24"/>
              </w:rPr>
              <w:t xml:space="preserve"> c i förordning (EU) nr 575/2013 och kreditderivat när dessa omfattas av avtal om produktövergripande nettning som avses i artikel 295 c i förordning (EU) nr 575/2013.</w:t>
            </w:r>
          </w:p>
          <w:p w14:paraId="68582320" w14:textId="76F97D55" w:rsidR="00AA0445" w:rsidRPr="000B66BC" w:rsidRDefault="000864F6" w:rsidP="000B66BC">
            <w:pPr>
              <w:pStyle w:val="BodyText1"/>
              <w:spacing w:after="240" w:line="240" w:lineRule="auto"/>
              <w:rPr>
                <w:rFonts w:ascii="Times New Roman" w:hAnsi="Times New Roman"/>
                <w:bCs/>
                <w:sz w:val="24"/>
                <w:szCs w:val="24"/>
              </w:rPr>
            </w:pPr>
            <w:r>
              <w:rPr>
                <w:rFonts w:ascii="Times New Roman" w:hAnsi="Times New Roman"/>
                <w:sz w:val="24"/>
              </w:rPr>
              <w:t xml:space="preserve">Instituten ska ta hänsyn till alla kreditderivat, och inte bara till dem som finns inom </w:t>
            </w:r>
            <w:proofErr w:type="spellStart"/>
            <w:r>
              <w:rPr>
                <w:rFonts w:ascii="Times New Roman" w:hAnsi="Times New Roman"/>
                <w:sz w:val="24"/>
              </w:rPr>
              <w:t>handelslagret</w:t>
            </w:r>
            <w:proofErr w:type="spellEnd"/>
            <w:r>
              <w:rPr>
                <w:rFonts w:ascii="Times New Roman" w:hAnsi="Times New Roman"/>
                <w:sz w:val="24"/>
              </w:rPr>
              <w:t>.</w:t>
            </w:r>
          </w:p>
          <w:p w14:paraId="2DFB7147" w14:textId="5C4A2661" w:rsidR="00AA0445" w:rsidRPr="000B66BC" w:rsidRDefault="008C451E" w:rsidP="000B66BC">
            <w:pPr>
              <w:pStyle w:val="BodyText1"/>
              <w:spacing w:after="240" w:line="240" w:lineRule="auto"/>
              <w:rPr>
                <w:rFonts w:ascii="Times New Roman" w:hAnsi="Times New Roman"/>
                <w:b/>
                <w:sz w:val="24"/>
                <w:szCs w:val="24"/>
              </w:rPr>
            </w:pPr>
            <w:r>
              <w:rPr>
                <w:rFonts w:ascii="Times New Roman" w:hAnsi="Times New Roman"/>
                <w:sz w:val="24"/>
              </w:rPr>
              <w:t>I denna cell ska institut inte inkludera kontrakt som beräknas genom tillämpning av den förenklade schablonmetoden eller ursprungliga åtagandemetoden.</w:t>
            </w:r>
          </w:p>
        </w:tc>
      </w:tr>
      <w:tr w:rsidR="00AA0445" w:rsidRPr="00E75BB8" w14:paraId="6839640F" w14:textId="77777777" w:rsidTr="008979D2">
        <w:trPr>
          <w:trHeight w:val="304"/>
        </w:trPr>
        <w:tc>
          <w:tcPr>
            <w:tcW w:w="1555" w:type="dxa"/>
            <w:gridSpan w:val="2"/>
            <w:tcBorders>
              <w:bottom w:val="single" w:sz="4" w:space="0" w:color="auto"/>
            </w:tcBorders>
          </w:tcPr>
          <w:p w14:paraId="7B6A76A4" w14:textId="48C3F797" w:rsidR="00AE3377" w:rsidRPr="000B66BC" w:rsidRDefault="00AE3377" w:rsidP="000B66BC">
            <w:pPr>
              <w:pStyle w:val="BodyText1"/>
              <w:spacing w:after="240"/>
              <w:rPr>
                <w:rFonts w:ascii="Times New Roman" w:hAnsi="Times New Roman"/>
                <w:bCs/>
                <w:sz w:val="24"/>
                <w:szCs w:val="24"/>
              </w:rPr>
            </w:pPr>
            <w:r>
              <w:rPr>
                <w:rFonts w:ascii="Times New Roman" w:hAnsi="Times New Roman"/>
                <w:sz w:val="24"/>
              </w:rPr>
              <w:t>{0065;0010}</w:t>
            </w:r>
          </w:p>
          <w:p w14:paraId="3E5668CA" w14:textId="77777777" w:rsidR="00AE3377" w:rsidRPr="000B66BC" w:rsidRDefault="00AE3377" w:rsidP="000B66BC">
            <w:pPr>
              <w:pStyle w:val="BodyText1"/>
              <w:spacing w:after="240"/>
              <w:rPr>
                <w:rFonts w:ascii="Times New Roman" w:hAnsi="Times New Roman"/>
                <w:bCs/>
                <w:sz w:val="24"/>
                <w:szCs w:val="24"/>
              </w:rPr>
            </w:pPr>
          </w:p>
          <w:p w14:paraId="13FEE6ED" w14:textId="77777777" w:rsidR="00AA0445" w:rsidRPr="000B66BC"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4EDC7E6" w14:textId="3E0D75A1" w:rsidR="00AE3377" w:rsidRPr="000B66BC" w:rsidRDefault="00AE3377" w:rsidP="000B66BC">
            <w:pPr>
              <w:pStyle w:val="BodyText1"/>
              <w:spacing w:after="240" w:line="240" w:lineRule="auto"/>
              <w:rPr>
                <w:rFonts w:ascii="Times New Roman" w:hAnsi="Times New Roman"/>
                <w:b/>
                <w:bCs/>
                <w:sz w:val="24"/>
                <w:szCs w:val="24"/>
              </w:rPr>
            </w:pPr>
            <w:r>
              <w:rPr>
                <w:rFonts w:ascii="Times New Roman" w:hAnsi="Times New Roman"/>
                <w:b/>
                <w:sz w:val="24"/>
              </w:rPr>
              <w:t>(–) Effekten av beaktande av säkerheter på NICA för kvalificerade centrala motparters transaktioner som clearats av kunden (motpartskreditrisk enligt schablonmetoden – ersättningskostnad)</w:t>
            </w:r>
          </w:p>
          <w:p w14:paraId="4393A5C2" w14:textId="59905614"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sz w:val="24"/>
              </w:rPr>
              <w:t>Artikel 429c.4 i förordning (EU) nr 575/2013 och artikel 429c.4a</w:t>
            </w:r>
          </w:p>
          <w:p w14:paraId="5BDFEC31" w14:textId="28614318" w:rsidR="00AA0445" w:rsidRPr="000B66BC" w:rsidRDefault="00143A3F" w:rsidP="000B66BC">
            <w:pPr>
              <w:pStyle w:val="BodyText1"/>
              <w:spacing w:after="240" w:line="240" w:lineRule="auto"/>
              <w:rPr>
                <w:rFonts w:ascii="Times New Roman" w:hAnsi="Times New Roman"/>
                <w:bCs/>
                <w:sz w:val="24"/>
                <w:szCs w:val="24"/>
              </w:rPr>
            </w:pPr>
            <w:r>
              <w:rPr>
                <w:rFonts w:ascii="Times New Roman" w:hAnsi="Times New Roman"/>
                <w:sz w:val="24"/>
              </w:rPr>
              <w:t>Tillämpning av undantaget i artikel 429c.4 i förordning (EU) nr 575/2013 tillsammans med artikel 429c.4a om beräkning av ersättningskostnaden för derivatkontrakt som slutits med kunder och som clearas av en kvalificerad central motpart. Beloppet ska rapporteras med den alfa-faktor på 1,4 som tillämpas i enlighet med artikel 274.2 i förordning (EU) nr 575/2013.</w:t>
            </w:r>
          </w:p>
          <w:p w14:paraId="71B5D857" w14:textId="15F17BCC" w:rsidR="00860608" w:rsidRPr="000B66BC" w:rsidRDefault="00C622B3"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Instituten ska inkludera det belopp som rapporteras i denna cell även i {0061;0010} som om inga undantag gällde.</w:t>
            </w:r>
          </w:p>
        </w:tc>
      </w:tr>
      <w:tr w:rsidR="00B451A5" w:rsidRPr="00E75BB8" w14:paraId="708471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0B66BC" w:rsidRDefault="00B451A5" w:rsidP="000B66BC">
            <w:pPr>
              <w:pStyle w:val="BodyText1"/>
              <w:spacing w:after="240"/>
              <w:rPr>
                <w:rFonts w:ascii="Times New Roman" w:hAnsi="Times New Roman"/>
                <w:bCs/>
                <w:sz w:val="24"/>
                <w:szCs w:val="24"/>
              </w:rPr>
            </w:pPr>
            <w:r>
              <w:rPr>
                <w:rFonts w:ascii="Times New Roman" w:hAnsi="Times New Roman"/>
                <w:sz w:val="24"/>
              </w:rPr>
              <w:lastRenderedPageBreak/>
              <w:t>{0071;0010}</w:t>
            </w:r>
          </w:p>
        </w:tc>
        <w:tc>
          <w:tcPr>
            <w:tcW w:w="7566" w:type="dxa"/>
            <w:tcBorders>
              <w:top w:val="single" w:sz="4" w:space="0" w:color="auto"/>
              <w:left w:val="single" w:sz="4" w:space="0" w:color="auto"/>
              <w:bottom w:val="single" w:sz="4" w:space="0" w:color="auto"/>
              <w:right w:val="single" w:sz="4" w:space="0" w:color="auto"/>
            </w:tcBorders>
          </w:tcPr>
          <w:p w14:paraId="2D238DD9"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sz w:val="24"/>
              </w:rPr>
              <w:t>(–) Effekten av den godtagbara variationsmarginalsäkerhet som erhållits i kontanter kvittad mot derivatmarknadsvärde (schablonmetoden för motpartskreditrisk – ersättningskostnad)</w:t>
            </w:r>
          </w:p>
          <w:p w14:paraId="1A368C0C" w14:textId="3657AB83"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Artikel 429c.3 i förordning (EU) nr 575/2013</w:t>
            </w:r>
          </w:p>
          <w:p w14:paraId="04F99B6B" w14:textId="4F870A7A"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Variationsmarginalsäkerhet som erhållits från motparten i kontanter och som kan kvittas mot ersättningskostnadsandelen i derivatexponeringen i enlighet med artikel 429c.3 i förordning (EU) nr 575/2013. Beloppet ska rapporteras med den alfa-faktor på 1,4 som tillämpas i enlighet med artikel 274.2 i förordning (EU) nr 575/2013.</w:t>
            </w:r>
          </w:p>
          <w:p w14:paraId="0D6BE08A" w14:textId="0AA9C4EA"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Eventuell variationsmarginalsäkerhet som erhållits i kontanter som mottagits för en undantagen central motpartsdel enligt artikel 429a.1 g i förordning (EU) nr 575/2013 ska inte rapporteras.</w:t>
            </w:r>
          </w:p>
          <w:p w14:paraId="3C49A67A" w14:textId="21788571"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sz w:val="24"/>
              </w:rPr>
              <w:t>Instituten ska inkludera det belopp som rapporteras i denna cell även i {0061;0010} som om inget avdrag för variationsmarginalsäkerhet som erhållits i kontanter tillämpas.</w:t>
            </w:r>
          </w:p>
        </w:tc>
      </w:tr>
      <w:tr w:rsidR="00B451A5" w:rsidRPr="00E75BB8" w14:paraId="2A6BC46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0B66BC" w:rsidDel="002D1CE8" w:rsidRDefault="00B451A5" w:rsidP="000B66BC">
            <w:pPr>
              <w:pStyle w:val="BodyText1"/>
              <w:spacing w:after="240"/>
              <w:rPr>
                <w:rFonts w:ascii="Times New Roman" w:hAnsi="Times New Roman"/>
                <w:bCs/>
                <w:sz w:val="24"/>
                <w:szCs w:val="24"/>
              </w:rPr>
            </w:pPr>
            <w:r>
              <w:rPr>
                <w:rFonts w:ascii="Times New Roman" w:hAnsi="Times New Roman"/>
                <w:sz w:val="24"/>
              </w:rPr>
              <w:t>{0081;0010}</w:t>
            </w:r>
          </w:p>
        </w:tc>
        <w:tc>
          <w:tcPr>
            <w:tcW w:w="7566" w:type="dxa"/>
            <w:tcBorders>
              <w:top w:val="single" w:sz="4" w:space="0" w:color="auto"/>
              <w:left w:val="single" w:sz="4" w:space="0" w:color="auto"/>
              <w:bottom w:val="single" w:sz="4" w:space="0" w:color="auto"/>
              <w:right w:val="single" w:sz="4" w:space="0" w:color="auto"/>
            </w:tcBorders>
          </w:tcPr>
          <w:p w14:paraId="1F4EB90B"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sz w:val="24"/>
              </w:rPr>
              <w:t>(–) Effekten av den undantagna centrala motpartsdelen av handelsexponeringar som clearats av kunden (motpartskreditrisk enligt schablonmetoden – ersättningskostnad)</w:t>
            </w:r>
          </w:p>
          <w:p w14:paraId="4B3A4644" w14:textId="2DF3E94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Artikel 429a.1 g i förordning (EU) nr 575/2013</w:t>
            </w:r>
          </w:p>
          <w:p w14:paraId="2F8AB13D" w14:textId="7971537D"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 xml:space="preserve">Ersättningskostnadsandelen av undantagna handelsexponeringar mot en kvalificerad central motpart från derivattransaktioner som clearats av kunden, förutsatt att dessa poster uppfyller kraven som fastställs i artikel </w:t>
            </w:r>
            <w:proofErr w:type="gramStart"/>
            <w:r>
              <w:rPr>
                <w:rFonts w:ascii="Times New Roman" w:hAnsi="Times New Roman"/>
                <w:sz w:val="24"/>
              </w:rPr>
              <w:t>306.1</w:t>
            </w:r>
            <w:proofErr w:type="gramEnd"/>
            <w:r>
              <w:rPr>
                <w:rFonts w:ascii="Times New Roman" w:hAnsi="Times New Roman"/>
                <w:sz w:val="24"/>
              </w:rPr>
              <w:t xml:space="preserve"> c i förordning (EU) nr 575/2013. Detta belopp ska rapporteras inbegripet variationsmarginalsäkerhet som erhållits i kontanter för denna del. Beloppet ska rapporteras med den alfa-faktor på 1,4 som tillämpas i enlighet med artikel 274.2 i förordning (EU) nr 575/2013.</w:t>
            </w:r>
          </w:p>
          <w:p w14:paraId="3D70C614" w14:textId="27A413D3" w:rsidR="00B451A5" w:rsidRPr="000B66BC" w:rsidDel="002D1CE8" w:rsidRDefault="00B451A5" w:rsidP="000B66BC">
            <w:pPr>
              <w:pStyle w:val="BodyText1"/>
              <w:spacing w:after="240" w:line="240" w:lineRule="auto"/>
              <w:rPr>
                <w:rFonts w:ascii="Times New Roman" w:hAnsi="Times New Roman"/>
                <w:b/>
                <w:bCs/>
                <w:sz w:val="24"/>
                <w:szCs w:val="24"/>
              </w:rPr>
            </w:pPr>
            <w:r>
              <w:rPr>
                <w:rFonts w:ascii="Times New Roman" w:hAnsi="Times New Roman"/>
                <w:sz w:val="24"/>
              </w:rPr>
              <w:t>Instituten ska inkludera beloppet som rapporteras i denna cell även i {0061;0010} som om inga undantag gällde.</w:t>
            </w:r>
          </w:p>
        </w:tc>
      </w:tr>
      <w:tr w:rsidR="00BE4B9E" w:rsidRPr="00E75BB8" w14:paraId="21C5C5EE" w14:textId="77777777" w:rsidTr="008979D2">
        <w:trPr>
          <w:trHeight w:val="304"/>
        </w:trPr>
        <w:tc>
          <w:tcPr>
            <w:tcW w:w="1555" w:type="dxa"/>
            <w:gridSpan w:val="2"/>
          </w:tcPr>
          <w:p w14:paraId="12F2B1DD" w14:textId="54C860E8" w:rsidR="00BE4B9E" w:rsidRPr="000B66BC" w:rsidRDefault="00BE4B9E" w:rsidP="000B66BC">
            <w:pPr>
              <w:pStyle w:val="BodyText1"/>
              <w:spacing w:after="240"/>
              <w:rPr>
                <w:rFonts w:ascii="Times New Roman" w:hAnsi="Times New Roman"/>
                <w:bCs/>
                <w:sz w:val="24"/>
                <w:szCs w:val="24"/>
              </w:rPr>
            </w:pPr>
            <w:r>
              <w:rPr>
                <w:rFonts w:ascii="Times New Roman" w:hAnsi="Times New Roman"/>
                <w:sz w:val="24"/>
              </w:rPr>
              <w:t>{0091;0010}</w:t>
            </w:r>
          </w:p>
        </w:tc>
        <w:tc>
          <w:tcPr>
            <w:tcW w:w="7566" w:type="dxa"/>
          </w:tcPr>
          <w:p w14:paraId="039E3624"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Derivat: Bidrag till möjlig framtida exponering enligt schablonmetoden för motpartskreditrisk (multiplikator på 1) </w:t>
            </w:r>
          </w:p>
          <w:p w14:paraId="11FEB8DF" w14:textId="0B9CCE03"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sz w:val="24"/>
              </w:rPr>
              <w:t>Artikel 429c.5 i förordning (EU) nr 575/2013.</w:t>
            </w:r>
          </w:p>
          <w:p w14:paraId="77480A73" w14:textId="71E40CF3"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sz w:val="24"/>
              </w:rPr>
              <w:t xml:space="preserve">Möjlig framtida exponering enligt artikel 278 i förordning (EU) nr 575/2013 med antagande av en multiplikator på 1, dvs. utan tillämpning av undantaget för kontrakt med kunder om dessa kontrakt clearas av en kvalificerad central motpart enligt artikel 429c.5 i förordning (EU) nr 575/2013. Beloppet ska </w:t>
            </w:r>
            <w:r>
              <w:rPr>
                <w:rFonts w:ascii="Times New Roman" w:hAnsi="Times New Roman"/>
                <w:sz w:val="24"/>
              </w:rPr>
              <w:lastRenderedPageBreak/>
              <w:t>rapporteras med den alfa-faktor på 1,4 som tillämpas i enlighet med artikel 274.2 i förordning (EU) nr 575/2013.</w:t>
            </w:r>
          </w:p>
        </w:tc>
      </w:tr>
      <w:tr w:rsidR="00BE4B9E" w:rsidRPr="00E75BB8" w14:paraId="1F0CF2B9" w14:textId="77777777" w:rsidTr="008979D2">
        <w:trPr>
          <w:trHeight w:val="304"/>
        </w:trPr>
        <w:tc>
          <w:tcPr>
            <w:tcW w:w="1555" w:type="dxa"/>
            <w:gridSpan w:val="2"/>
          </w:tcPr>
          <w:p w14:paraId="3B470185" w14:textId="419934C4" w:rsidR="00BE4B9E" w:rsidRPr="000B66BC" w:rsidRDefault="00BE4B9E" w:rsidP="000B66BC">
            <w:pPr>
              <w:pStyle w:val="BodyText1"/>
              <w:spacing w:after="240"/>
              <w:rPr>
                <w:rFonts w:ascii="Times New Roman" w:hAnsi="Times New Roman"/>
                <w:bCs/>
                <w:sz w:val="24"/>
                <w:szCs w:val="24"/>
              </w:rPr>
            </w:pPr>
            <w:r>
              <w:rPr>
                <w:rFonts w:ascii="Times New Roman" w:hAnsi="Times New Roman"/>
                <w:sz w:val="24"/>
              </w:rPr>
              <w:lastRenderedPageBreak/>
              <w:t>{0092;0010}</w:t>
            </w:r>
          </w:p>
        </w:tc>
        <w:tc>
          <w:tcPr>
            <w:tcW w:w="7566" w:type="dxa"/>
          </w:tcPr>
          <w:p w14:paraId="2E121ECA"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sz w:val="24"/>
              </w:rPr>
              <w:t>(–) Effekt av lägre multiplikator på bidraget till möjlig framtida exponering för kvalificerade centrala motparters transaktioner som clearats av kunden (motpartskreditrisk enligt schablonmetoden – möjlig framtida exponering)</w:t>
            </w:r>
          </w:p>
          <w:p w14:paraId="51309425" w14:textId="54D1B8FE"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sz w:val="24"/>
              </w:rPr>
              <w:t>Artikel 429c.5 i förordning (EU) nr 575/2013.</w:t>
            </w:r>
          </w:p>
          <w:p w14:paraId="36AD83FD" w14:textId="2FF4947E" w:rsidR="00BE4B9E" w:rsidRPr="000B66BC" w:rsidRDefault="00334535" w:rsidP="000B66BC">
            <w:pPr>
              <w:pStyle w:val="BodyText1"/>
              <w:spacing w:after="240" w:line="240" w:lineRule="auto"/>
              <w:rPr>
                <w:rFonts w:ascii="Times New Roman" w:hAnsi="Times New Roman"/>
                <w:bCs/>
                <w:sz w:val="24"/>
                <w:szCs w:val="24"/>
              </w:rPr>
            </w:pPr>
            <w:r>
              <w:rPr>
                <w:rFonts w:ascii="Times New Roman" w:hAnsi="Times New Roman"/>
                <w:sz w:val="24"/>
              </w:rPr>
              <w:t>Tillämpning av undantaget i artikel 429c.5 i förordning (EU) nr 575/2013 vid beräkning av möjlig framtida exponering för derivatkontrakt med kunder om dessa kontrakt clearas av en kvalificerad central motpart. Beloppet ska rapporteras med den alfa-faktor på 1,4 som tillämpas i enlighet med artikel 274.2 i förordning (EU) nr 575/2013.</w:t>
            </w:r>
          </w:p>
          <w:p w14:paraId="69C754CC" w14:textId="4C627CA1" w:rsidR="00334535" w:rsidRPr="000B66BC" w:rsidRDefault="00C622B3" w:rsidP="000B66BC">
            <w:pPr>
              <w:pStyle w:val="BodyText1"/>
              <w:spacing w:after="240" w:line="240" w:lineRule="auto"/>
              <w:rPr>
                <w:rFonts w:ascii="Times New Roman" w:hAnsi="Times New Roman"/>
                <w:b/>
                <w:bCs/>
                <w:sz w:val="24"/>
                <w:szCs w:val="24"/>
              </w:rPr>
            </w:pPr>
            <w:r>
              <w:rPr>
                <w:rFonts w:ascii="Times New Roman" w:hAnsi="Times New Roman"/>
                <w:sz w:val="24"/>
              </w:rPr>
              <w:t>Instituten ska inkludera beloppet som rapporteras i denna cell även i {0091;0010} som om inga undantag gällde.</w:t>
            </w:r>
          </w:p>
        </w:tc>
      </w:tr>
      <w:tr w:rsidR="00721D6C" w:rsidRPr="00E75BB8" w14:paraId="337DFBE3" w14:textId="77777777" w:rsidTr="008979D2">
        <w:trPr>
          <w:trHeight w:val="304"/>
        </w:trPr>
        <w:tc>
          <w:tcPr>
            <w:tcW w:w="1555" w:type="dxa"/>
            <w:gridSpan w:val="2"/>
          </w:tcPr>
          <w:p w14:paraId="4EC86A2A" w14:textId="23F426EB" w:rsidR="00721D6C" w:rsidRPr="000B66BC" w:rsidRDefault="00721D6C" w:rsidP="000B66BC">
            <w:pPr>
              <w:pStyle w:val="BodyText1"/>
              <w:spacing w:after="240"/>
              <w:rPr>
                <w:rFonts w:ascii="Times New Roman" w:hAnsi="Times New Roman"/>
                <w:bCs/>
                <w:sz w:val="24"/>
                <w:szCs w:val="24"/>
              </w:rPr>
            </w:pPr>
            <w:r>
              <w:rPr>
                <w:rFonts w:ascii="Times New Roman" w:hAnsi="Times New Roman"/>
                <w:sz w:val="24"/>
              </w:rPr>
              <w:t>{0093;0010}</w:t>
            </w:r>
          </w:p>
        </w:tc>
        <w:tc>
          <w:tcPr>
            <w:tcW w:w="7566" w:type="dxa"/>
          </w:tcPr>
          <w:p w14:paraId="799DA79E" w14:textId="77777777"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
                <w:sz w:val="24"/>
              </w:rPr>
              <w:t>(–) Effekten av den undantagna centrala motpartsdelen av handelsexponeringar som clearats av kunden (motpartskreditrisk enligt schablonmetoden – möjlig framtida exponering)</w:t>
            </w:r>
          </w:p>
          <w:p w14:paraId="638E19CF" w14:textId="54F17918" w:rsidR="00721D6C" w:rsidRPr="000B66BC" w:rsidRDefault="002F3BA4" w:rsidP="000B66BC">
            <w:pPr>
              <w:pStyle w:val="BodyText1"/>
              <w:spacing w:after="240" w:line="240" w:lineRule="auto"/>
              <w:rPr>
                <w:rFonts w:ascii="Times New Roman" w:hAnsi="Times New Roman"/>
                <w:bCs/>
                <w:sz w:val="24"/>
                <w:szCs w:val="24"/>
              </w:rPr>
            </w:pPr>
            <w:r>
              <w:rPr>
                <w:rFonts w:ascii="Times New Roman" w:hAnsi="Times New Roman"/>
                <w:sz w:val="24"/>
              </w:rPr>
              <w:t>Artikel 429a.1 g i förordning (EU) nr 575/2013</w:t>
            </w:r>
          </w:p>
          <w:p w14:paraId="3C911695" w14:textId="5D4C77C5"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sz w:val="24"/>
              </w:rPr>
              <w:t xml:space="preserve">Möjlig framtida exponering av undantagna handelsexponeringar mot en kvalificerad central motpart från derivattransaktioner som clearats av kunden, förutsatt att dessa poster uppfyller kraven som fastställs i artikel </w:t>
            </w:r>
            <w:proofErr w:type="gramStart"/>
            <w:r>
              <w:rPr>
                <w:rFonts w:ascii="Times New Roman" w:hAnsi="Times New Roman"/>
                <w:sz w:val="24"/>
              </w:rPr>
              <w:t>306.1</w:t>
            </w:r>
            <w:proofErr w:type="gramEnd"/>
            <w:r>
              <w:rPr>
                <w:rFonts w:ascii="Times New Roman" w:hAnsi="Times New Roman"/>
                <w:sz w:val="24"/>
              </w:rPr>
              <w:t xml:space="preserve"> c i förordning (EU) nr 575/2013. Beloppet ska rapporteras med den alfa-faktor på 1,4 som tillämpas i enlighet med artikel 274.2 i förordning (EU) nr 575/2013.</w:t>
            </w:r>
          </w:p>
          <w:p w14:paraId="5DC396D3" w14:textId="79540906" w:rsidR="00721D6C" w:rsidRPr="000B66BC" w:rsidRDefault="00721D6C" w:rsidP="000B66BC">
            <w:pPr>
              <w:pStyle w:val="BodyText1"/>
              <w:spacing w:after="240" w:line="240" w:lineRule="auto"/>
              <w:rPr>
                <w:rFonts w:ascii="Times New Roman" w:hAnsi="Times New Roman"/>
                <w:b/>
                <w:bCs/>
                <w:sz w:val="24"/>
                <w:szCs w:val="24"/>
              </w:rPr>
            </w:pPr>
            <w:r>
              <w:rPr>
                <w:rFonts w:ascii="Times New Roman" w:hAnsi="Times New Roman"/>
                <w:sz w:val="24"/>
              </w:rPr>
              <w:t>Instituten ska inkludera beloppet som rapporteras i denna cell även i {0091;0010} som om inga undantag gällde.</w:t>
            </w:r>
          </w:p>
        </w:tc>
      </w:tr>
      <w:tr w:rsidR="001D7778" w:rsidRPr="00E75BB8" w14:paraId="7D779BBC"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0492254" w14:textId="77777777" w:rsidR="001D7778" w:rsidRPr="000B66BC" w:rsidRDefault="001D7778" w:rsidP="000B66BC">
            <w:pPr>
              <w:pStyle w:val="BodyText1"/>
              <w:spacing w:after="240"/>
              <w:rPr>
                <w:rFonts w:ascii="Times New Roman" w:hAnsi="Times New Roman"/>
                <w:bCs/>
                <w:sz w:val="24"/>
                <w:szCs w:val="24"/>
              </w:rPr>
            </w:pPr>
            <w:r>
              <w:rPr>
                <w:rFonts w:ascii="Times New Roman" w:hAnsi="Times New Roman"/>
                <w:sz w:val="24"/>
              </w:rPr>
              <w:t>{0101;0010}</w:t>
            </w:r>
          </w:p>
        </w:tc>
        <w:tc>
          <w:tcPr>
            <w:tcW w:w="7566" w:type="dxa"/>
            <w:tcBorders>
              <w:top w:val="single" w:sz="4" w:space="0" w:color="auto"/>
              <w:left w:val="single" w:sz="4" w:space="0" w:color="auto"/>
              <w:bottom w:val="single" w:sz="4" w:space="0" w:color="auto"/>
              <w:right w:val="single" w:sz="4" w:space="0" w:color="auto"/>
            </w:tcBorders>
          </w:tcPr>
          <w:p w14:paraId="40B6E3AE" w14:textId="77777777"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Undantag för derivat: bidrag till ersättningskostnader enligt den förenklade schablonmetoden </w:t>
            </w:r>
          </w:p>
          <w:p w14:paraId="729E4C3C" w14:textId="599BA87E"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sz w:val="24"/>
              </w:rPr>
              <w:t>Artiklarna 429c.6 och 281 i förordning (EU) nr 575/2013.</w:t>
            </w:r>
          </w:p>
          <w:p w14:paraId="4582CAFD" w14:textId="1D9769B3"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sz w:val="24"/>
              </w:rPr>
              <w:t>Denna cell anger exponeringsmåttet för kontrakt som förtecknas i punkterna 1 och 2 i bilaga II till förordning (EU) nr 575/2013 beräknat genom tillämpning av den förenklade schablonmetoden enligt vad som anges i artikel 281 i förordning (EU) nr 575/2013. Beloppet ska rapporteras med den alfa-faktor på 1,4 som tillämpas i enlighet med artikel 274.2 i förordning (EU) nr 575/2013.</w:t>
            </w:r>
          </w:p>
          <w:p w14:paraId="6AF43C3C" w14:textId="33DD047C"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sz w:val="24"/>
              </w:rPr>
              <w:t xml:space="preserve">Institut som tillämpar den förenklade schablonmetoden ska inte minska det totala exponeringsmåttet med beloppet för den marginalsäkerhet som erhållits i enlighet med artikel 429c.6 i förordning (EU) nr 575/2013. </w:t>
            </w:r>
            <w:r>
              <w:rPr>
                <w:rFonts w:ascii="Times New Roman" w:hAnsi="Times New Roman"/>
                <w:sz w:val="24"/>
              </w:rPr>
              <w:lastRenderedPageBreak/>
              <w:t>Undantaget för derivatkontrakt med kunder om dessa kontrakt clearas av en kvalificerad central motpart enligt artikel 429c.4 i förordning (EU) nr 575/2013 ska därför inte tillämpas.</w:t>
            </w:r>
          </w:p>
          <w:p w14:paraId="41A54C94" w14:textId="000C6D0B"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sz w:val="24"/>
              </w:rPr>
              <w:t>I denna cell ska institut inte inkludera kontrakt som beräknas genom tillämpning av schablonmetoden för motpartskreditrisk eller ursprungliga åtagandemetoden.</w:t>
            </w:r>
          </w:p>
        </w:tc>
      </w:tr>
      <w:tr w:rsidR="00CB48CC" w:rsidRPr="00E75BB8" w14:paraId="177E0E57" w14:textId="77777777" w:rsidTr="008979D2">
        <w:trPr>
          <w:trHeight w:val="304"/>
        </w:trPr>
        <w:tc>
          <w:tcPr>
            <w:tcW w:w="1555" w:type="dxa"/>
            <w:gridSpan w:val="2"/>
          </w:tcPr>
          <w:p w14:paraId="1A21B8B9" w14:textId="3A3A59D4" w:rsidR="00CB48CC" w:rsidRPr="000B66BC" w:rsidRDefault="001F3E84" w:rsidP="000B66BC">
            <w:pPr>
              <w:pStyle w:val="BodyText1"/>
              <w:spacing w:after="240"/>
              <w:rPr>
                <w:rFonts w:ascii="Times New Roman" w:hAnsi="Times New Roman"/>
                <w:bCs/>
                <w:sz w:val="24"/>
                <w:szCs w:val="24"/>
              </w:rPr>
            </w:pPr>
            <w:r>
              <w:rPr>
                <w:rFonts w:ascii="Times New Roman" w:hAnsi="Times New Roman"/>
                <w:sz w:val="24"/>
              </w:rPr>
              <w:lastRenderedPageBreak/>
              <w:t>{0102;0010}</w:t>
            </w:r>
          </w:p>
        </w:tc>
        <w:tc>
          <w:tcPr>
            <w:tcW w:w="7566" w:type="dxa"/>
          </w:tcPr>
          <w:p w14:paraId="1AB84BA7"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Effekt av undantagen central motpartsdel av handelsexponeringar som clearats av kunden (förenklad schablonmetod – ersättningskostnader)</w:t>
            </w:r>
          </w:p>
          <w:p w14:paraId="145D251C" w14:textId="4101DA1F"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sz w:val="24"/>
              </w:rPr>
              <w:t>Artikel 429a.1 g i förordning (EU) nr 575/2013</w:t>
            </w:r>
          </w:p>
          <w:p w14:paraId="577C5D50" w14:textId="038570D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Ersättningskostnadsandelen av undantagna handelsexponeringar mot en kvalificerad central motpart från derivattransaktioner som clearats av kunden, förutsatt att dessa poster uppfyller kraven som fastställs i artikel </w:t>
            </w:r>
            <w:proofErr w:type="gramStart"/>
            <w:r>
              <w:rPr>
                <w:rFonts w:ascii="Times New Roman" w:hAnsi="Times New Roman"/>
                <w:sz w:val="24"/>
              </w:rPr>
              <w:t>306.1</w:t>
            </w:r>
            <w:proofErr w:type="gramEnd"/>
            <w:r>
              <w:rPr>
                <w:rFonts w:ascii="Times New Roman" w:hAnsi="Times New Roman"/>
                <w:sz w:val="24"/>
              </w:rPr>
              <w:t xml:space="preserve"> c i förordning (EU) nr 575/2013. Detta belopp ska rapporteras inbegripet variationsmarginalsäkerhet som erhållits i kontanter för denna del. Beloppet ska rapporteras med den alfa-faktor på 1,4 som tillämpas i enlighet med artikel 274.2 i förordning (EU) nr 575/2013.</w:t>
            </w:r>
          </w:p>
          <w:p w14:paraId="217819AF" w14:textId="1C24625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Institut ska inkludera beloppet som rapporteras i denna cell även i {0101;0010} som om inga undantag gällde.</w:t>
            </w:r>
          </w:p>
        </w:tc>
      </w:tr>
      <w:tr w:rsidR="00CB48CC" w:rsidRPr="00E75BB8" w14:paraId="77B81E13" w14:textId="77777777" w:rsidTr="008979D2">
        <w:trPr>
          <w:trHeight w:val="304"/>
        </w:trPr>
        <w:tc>
          <w:tcPr>
            <w:tcW w:w="1555" w:type="dxa"/>
            <w:gridSpan w:val="2"/>
          </w:tcPr>
          <w:p w14:paraId="59F8E92F" w14:textId="10EA442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{0103;0010}</w:t>
            </w:r>
          </w:p>
        </w:tc>
        <w:tc>
          <w:tcPr>
            <w:tcW w:w="7566" w:type="dxa"/>
          </w:tcPr>
          <w:p w14:paraId="3D169826"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Undantag för derivat: Möjlig framtida exponering enligt den förenklade schablonmetoden (multiplikator på 1) </w:t>
            </w:r>
          </w:p>
          <w:p w14:paraId="5B7322DC" w14:textId="231FF6D8" w:rsidR="00201339" w:rsidRPr="000B66BC" w:rsidRDefault="00803EDD" w:rsidP="000B66BC">
            <w:pPr>
              <w:pStyle w:val="BodyText1"/>
              <w:spacing w:after="240"/>
              <w:rPr>
                <w:rFonts w:ascii="Times New Roman" w:hAnsi="Times New Roman"/>
                <w:bCs/>
                <w:sz w:val="24"/>
                <w:szCs w:val="24"/>
              </w:rPr>
            </w:pPr>
            <w:r>
              <w:rPr>
                <w:rFonts w:ascii="Times New Roman" w:hAnsi="Times New Roman"/>
                <w:sz w:val="24"/>
              </w:rPr>
              <w:t xml:space="preserve">Artiklarna </w:t>
            </w:r>
            <w:proofErr w:type="gramStart"/>
            <w:r>
              <w:rPr>
                <w:rFonts w:ascii="Times New Roman" w:hAnsi="Times New Roman"/>
                <w:sz w:val="24"/>
              </w:rPr>
              <w:t>281.2</w:t>
            </w:r>
            <w:proofErr w:type="gramEnd"/>
            <w:r>
              <w:rPr>
                <w:rFonts w:ascii="Times New Roman" w:hAnsi="Times New Roman"/>
                <w:sz w:val="24"/>
              </w:rPr>
              <w:t xml:space="preserve"> f och 429c.6 i förordning (EU) nr 575/2013. Den möjliga framtida exponeringen i enlighet med den förenklade schablonmetod som anges i artikel 281 i förordning (EU) nr 575/2013, med antagande av en multiplikator på 1. Beloppet ska rapporteras med den alfa-faktor på 1,4 som tillämpas i enlighet med artikel 274.2 i förordning (EU) nr 575/2013.</w:t>
            </w:r>
          </w:p>
          <w:p w14:paraId="3AE17E54" w14:textId="1C4D71E5" w:rsidR="00CB48CC" w:rsidRPr="000B66BC" w:rsidRDefault="00201339" w:rsidP="000B66BC">
            <w:pPr>
              <w:pStyle w:val="BodyText1"/>
              <w:spacing w:after="240"/>
              <w:rPr>
                <w:rFonts w:ascii="Times New Roman" w:hAnsi="Times New Roman"/>
                <w:b/>
                <w:bCs/>
                <w:sz w:val="24"/>
                <w:szCs w:val="24"/>
              </w:rPr>
            </w:pPr>
            <w:r>
              <w:rPr>
                <w:rFonts w:ascii="Times New Roman" w:hAnsi="Times New Roman"/>
                <w:sz w:val="24"/>
              </w:rPr>
              <w:t>Institut som tillämpar den förenklade schablonmetoden ska inte minska det totala exponeringsmåttet med beloppet för den marginalsäkerhet som erhållits i enlighet med artikel 429c.6 i förordning (EU) nr 575/2013.</w:t>
            </w:r>
            <w:r>
              <w:rPr>
                <w:sz w:val="24"/>
              </w:rPr>
              <w:t xml:space="preserve"> </w:t>
            </w:r>
          </w:p>
        </w:tc>
      </w:tr>
      <w:tr w:rsidR="00E1595A" w:rsidRPr="00E75BB8" w14:paraId="65B70708"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B7E5996" w14:textId="77777777" w:rsidR="00E1595A" w:rsidRPr="000B66BC" w:rsidRDefault="00E1595A" w:rsidP="000B66BC">
            <w:pPr>
              <w:pStyle w:val="BodyText1"/>
              <w:spacing w:after="240"/>
              <w:rPr>
                <w:rFonts w:ascii="Times New Roman" w:hAnsi="Times New Roman"/>
                <w:bCs/>
                <w:sz w:val="24"/>
                <w:szCs w:val="24"/>
              </w:rPr>
            </w:pPr>
            <w:r>
              <w:rPr>
                <w:rFonts w:ascii="Times New Roman" w:hAnsi="Times New Roman"/>
                <w:sz w:val="24"/>
              </w:rPr>
              <w:t>{0104;0010}</w:t>
            </w:r>
          </w:p>
        </w:tc>
        <w:tc>
          <w:tcPr>
            <w:tcW w:w="7566" w:type="dxa"/>
            <w:tcBorders>
              <w:top w:val="single" w:sz="4" w:space="0" w:color="auto"/>
              <w:left w:val="single" w:sz="4" w:space="0" w:color="auto"/>
              <w:bottom w:val="single" w:sz="4" w:space="0" w:color="auto"/>
              <w:right w:val="single" w:sz="4" w:space="0" w:color="auto"/>
            </w:tcBorders>
          </w:tcPr>
          <w:p w14:paraId="293F8B96" w14:textId="77777777"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
                <w:sz w:val="24"/>
              </w:rPr>
              <w:t>(–) Effekt av undantagen central motpartsdel av handelsexponeringar som clearats av kunden (förenklad schablonmetod – möjlig framtida exponering)</w:t>
            </w:r>
          </w:p>
          <w:p w14:paraId="350D0B05" w14:textId="62172539"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sz w:val="24"/>
              </w:rPr>
              <w:t>Artikel 429a.1 g i förordning (EU) nr 575/2013</w:t>
            </w:r>
          </w:p>
          <w:p w14:paraId="7020C299" w14:textId="52211B9C"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sz w:val="24"/>
              </w:rPr>
              <w:t xml:space="preserve">Möjlig framtida exponering av undantagna handelsexponeringar mot en kvalificerad central motpart från derivattransaktioner som clearats av kunden, förutsatt att dessa poster uppfyller kraven som fastställs i artikel </w:t>
            </w:r>
            <w:proofErr w:type="gramStart"/>
            <w:r>
              <w:rPr>
                <w:rFonts w:ascii="Times New Roman" w:hAnsi="Times New Roman"/>
                <w:sz w:val="24"/>
              </w:rPr>
              <w:t>306.1</w:t>
            </w:r>
            <w:proofErr w:type="gramEnd"/>
            <w:r>
              <w:rPr>
                <w:rFonts w:ascii="Times New Roman" w:hAnsi="Times New Roman"/>
                <w:sz w:val="24"/>
              </w:rPr>
              <w:t xml:space="preserve"> c i förordning (EU) nr 575/2013. Beloppet ska rapporteras med den alfa-faktor </w:t>
            </w:r>
            <w:r>
              <w:rPr>
                <w:rFonts w:ascii="Times New Roman" w:hAnsi="Times New Roman"/>
                <w:sz w:val="24"/>
              </w:rPr>
              <w:lastRenderedPageBreak/>
              <w:t>på 1,4 som tillämpas i enlighet med artikel 274.2 i förordning (EU) nr 575/2013.</w:t>
            </w:r>
          </w:p>
          <w:p w14:paraId="419E01C7" w14:textId="70A232D0"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sz w:val="24"/>
              </w:rPr>
              <w:t>Institut ska inkludera beloppet som rapporteras i denna cell även i {0103;0010} som om inga undantag gällde.</w:t>
            </w:r>
          </w:p>
        </w:tc>
      </w:tr>
      <w:tr w:rsidR="00CB48CC" w:rsidRPr="00E75BB8" w14:paraId="28BF0347" w14:textId="77777777" w:rsidTr="008979D2">
        <w:trPr>
          <w:trHeight w:val="304"/>
        </w:trPr>
        <w:tc>
          <w:tcPr>
            <w:tcW w:w="1555" w:type="dxa"/>
            <w:gridSpan w:val="2"/>
          </w:tcPr>
          <w:p w14:paraId="313EA046" w14:textId="430415F9"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{0110;0010}</w:t>
            </w:r>
          </w:p>
          <w:p w14:paraId="4A976476"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CF5E433" w14:textId="00E40A8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Undantag för derivat: ursprungliga åtagandemetoden</w:t>
            </w:r>
          </w:p>
          <w:p w14:paraId="6E5CD50D" w14:textId="5B2D1AE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Artiklarna 429c.6 och 282 i förordning (EU) nr 575/2013.</w:t>
            </w:r>
          </w:p>
          <w:p w14:paraId="394FA10D" w14:textId="43C3B25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Denna cell anger exponeringsmåttet för kontrakt som förtecknas i punkterna 1 och 2 i bilaga II till förordning (EU) nr 575/2013 beräknat genom tillämpning av ursprungliga åtagandemetoden enligt vad som anges i artikel 282 i förordning (EU) nr 575/2013.</w:t>
            </w:r>
          </w:p>
          <w:p w14:paraId="0B0A4108" w14:textId="459E724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Institut som tillämpar den ursprungliga åtagandemetoden ska inte minska det totala exponeringsmåttet med beloppet för den marginalsäkerhet som erhållits i enlighet med artikel 429c.6 i förordning (EU) nr 575/2013.</w:t>
            </w:r>
          </w:p>
          <w:p w14:paraId="39B54B07" w14:textId="5E193AC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Institut som inte tillämpar ursprungliga åtagandemetoden ska inte rapportera i denna cell.</w:t>
            </w:r>
          </w:p>
          <w:p w14:paraId="1981EF1E" w14:textId="08F03AC9"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sz w:val="24"/>
              </w:rPr>
              <w:t>I denna cell ska institut inte inkludera kontrakt som beräknas genom tillämpning av schablonmetoden för motpartskreditrisk eller den förenklade schablonmetoden.</w:t>
            </w:r>
          </w:p>
        </w:tc>
      </w:tr>
      <w:tr w:rsidR="00CB48CC" w:rsidRPr="00E75BB8" w14:paraId="3B7D8618" w14:textId="77777777" w:rsidTr="008979D2">
        <w:trPr>
          <w:trHeight w:val="304"/>
        </w:trPr>
        <w:tc>
          <w:tcPr>
            <w:tcW w:w="1555" w:type="dxa"/>
            <w:gridSpan w:val="2"/>
          </w:tcPr>
          <w:p w14:paraId="42ED892B" w14:textId="40D1913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{0120;0010}</w:t>
            </w:r>
          </w:p>
        </w:tc>
        <w:tc>
          <w:tcPr>
            <w:tcW w:w="7566" w:type="dxa"/>
          </w:tcPr>
          <w:p w14:paraId="6FE290CC" w14:textId="030BF2B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Undantagen central motpartsdel av handelsexponeringar som clearats av kunden (ursprungliga åtagandemetoden)</w:t>
            </w:r>
          </w:p>
          <w:p w14:paraId="7A371D92" w14:textId="6A92D51F"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sz w:val="24"/>
              </w:rPr>
              <w:t>Artikel 429a.1 g i förordning (EU) nr 575/2013</w:t>
            </w:r>
          </w:p>
          <w:p w14:paraId="6CD3BE79" w14:textId="0E1CDA1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Den undantagna centrala motpartsdelen i handelsexponeringar som clearats av kunden vid tillämpning av ursprungliga åtagandemetoden i enlighet med artikel 282 i förordning (EU) nr 575/2013, under förutsättning att dessa poster uppfyller kraven i artikel </w:t>
            </w:r>
            <w:proofErr w:type="gramStart"/>
            <w:r>
              <w:rPr>
                <w:rFonts w:ascii="Times New Roman" w:hAnsi="Times New Roman"/>
                <w:sz w:val="24"/>
              </w:rPr>
              <w:t>306.1</w:t>
            </w:r>
            <w:proofErr w:type="gramEnd"/>
            <w:r>
              <w:rPr>
                <w:rFonts w:ascii="Times New Roman" w:hAnsi="Times New Roman"/>
                <w:sz w:val="24"/>
              </w:rPr>
              <w:t xml:space="preserve"> c i förordning (EU) nr 575/2013.</w:t>
            </w:r>
          </w:p>
          <w:p w14:paraId="18D8428B" w14:textId="6B3C879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Institut ska inkludera beloppet som rapporteras i denna cell även i {0110;0010} som om inga undantag gällde.</w:t>
            </w:r>
          </w:p>
        </w:tc>
      </w:tr>
      <w:tr w:rsidR="00CB48CC" w:rsidRPr="00E75BB8" w14:paraId="5029F8E7" w14:textId="77777777" w:rsidTr="008979D2">
        <w:trPr>
          <w:trHeight w:val="304"/>
        </w:trPr>
        <w:tc>
          <w:tcPr>
            <w:tcW w:w="1555" w:type="dxa"/>
            <w:gridSpan w:val="2"/>
          </w:tcPr>
          <w:p w14:paraId="598E1804" w14:textId="33506324"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{0130;0010}</w:t>
            </w:r>
          </w:p>
        </w:tc>
        <w:tc>
          <w:tcPr>
            <w:tcW w:w="7566" w:type="dxa"/>
          </w:tcPr>
          <w:p w14:paraId="0ECB889E" w14:textId="0C2B43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Begränsat teoretiskt belopp av utfärdade kreditderivat</w:t>
            </w:r>
          </w:p>
          <w:p w14:paraId="3144DF47" w14:textId="03E6EFA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Artikel 429d i förordning (EU) nr 575/2013.</w:t>
            </w:r>
          </w:p>
          <w:p w14:paraId="7435D499" w14:textId="4D85CBD0" w:rsidR="00CB48CC" w:rsidRPr="000B66BC" w:rsidRDefault="00E75BB8" w:rsidP="000B66BC">
            <w:pPr>
              <w:pStyle w:val="BodyText1"/>
              <w:spacing w:after="240" w:line="240" w:lineRule="auto"/>
              <w:rPr>
                <w:rFonts w:ascii="Times New Roman" w:hAnsi="Times New Roman"/>
                <w:bCs/>
                <w:sz w:val="24"/>
                <w:szCs w:val="24"/>
              </w:rPr>
            </w:pPr>
            <w:r>
              <w:rPr>
                <w:rFonts w:ascii="Times New Roman" w:hAnsi="Times New Roman"/>
                <w:sz w:val="24"/>
              </w:rPr>
              <w:t>Institut ska fastställa ett begränsat teoretiskt belopp för utfärdade kreditderivat, enligt definitionen i artikel 429d.1 (skriftligt kreditderivat), i enlighet med artikel 429d i förordning (EU) nr 575/2013.</w:t>
            </w:r>
          </w:p>
        </w:tc>
      </w:tr>
      <w:tr w:rsidR="00CB48CC" w:rsidRPr="00E75BB8" w14:paraId="5DA0B9DC" w14:textId="77777777" w:rsidTr="008979D2">
        <w:trPr>
          <w:trHeight w:val="304"/>
        </w:trPr>
        <w:tc>
          <w:tcPr>
            <w:tcW w:w="1555" w:type="dxa"/>
            <w:gridSpan w:val="2"/>
          </w:tcPr>
          <w:p w14:paraId="753E918D" w14:textId="3CA2220D"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{0140;0010}</w:t>
            </w:r>
          </w:p>
        </w:tc>
        <w:tc>
          <w:tcPr>
            <w:tcW w:w="7566" w:type="dxa"/>
          </w:tcPr>
          <w:p w14:paraId="7C62D40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Godtagbara förvärvade kreditderivat kvittade mot utfärdade kreditderivat</w:t>
            </w:r>
          </w:p>
          <w:p w14:paraId="64C8DF12" w14:textId="20E8D01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Artikel 429d i förordning (EU) nr 575/2013.</w:t>
            </w:r>
          </w:p>
          <w:p w14:paraId="444D1EBB" w14:textId="45DE543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Det begränsade teoretiska beloppet för förvärvade kreditderivat (dvs. där institutet köper kreditskydd från en motpart) för samma referensnamn som de kreditderivat som institutet utfärdar, om den återstående löptiden för det köpta kreditskyddet motsvarar eller är längre än löptiden för det sålda skyddet. Därför ska värdet inte vara större än det värde som ifyllts i {0130;0010} för varje referensnamn.</w:t>
            </w:r>
          </w:p>
        </w:tc>
      </w:tr>
      <w:tr w:rsidR="00CB48CC" w:rsidRPr="00E75BB8" w14:paraId="31F41404" w14:textId="77777777" w:rsidTr="008979D2">
        <w:trPr>
          <w:trHeight w:val="983"/>
        </w:trPr>
        <w:tc>
          <w:tcPr>
            <w:tcW w:w="1555" w:type="dxa"/>
            <w:gridSpan w:val="2"/>
          </w:tcPr>
          <w:p w14:paraId="7A070329" w14:textId="158316A9"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{0150;0010}</w:t>
            </w:r>
          </w:p>
          <w:p w14:paraId="7A113EB7"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4E086B7E" w14:textId="00B684E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Poster utanför balansräkningen med en kreditkonverteringsfaktor på 10 % enligt artikel 429f i CRR</w:t>
            </w:r>
          </w:p>
          <w:p w14:paraId="7C110152" w14:textId="2049FE67" w:rsidR="00CB48CC" w:rsidRPr="003D12C1" w:rsidRDefault="00867B43" w:rsidP="000B66BC">
            <w:pPr>
              <w:pStyle w:val="BodyText1"/>
              <w:spacing w:after="240" w:line="240" w:lineRule="auto"/>
              <w:rPr>
                <w:rFonts w:ascii="Times New Roman" w:hAnsi="Times New Roman"/>
                <w:bCs/>
                <w:sz w:val="24"/>
                <w:szCs w:val="24"/>
              </w:rPr>
            </w:pPr>
            <w:r>
              <w:rPr>
                <w:rFonts w:ascii="Times New Roman" w:hAnsi="Times New Roman"/>
                <w:sz w:val="24"/>
              </w:rPr>
              <w:t>Exponeringsvärdet i enlighet med artikel 429f, artikel 111.2 e och artikel 111.3 i förordning (EU) nr 575/2013</w:t>
            </w:r>
          </w:p>
          <w:p w14:paraId="6707D5C8" w14:textId="795C2D7D" w:rsidR="00494A67" w:rsidRPr="003D12C1"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Förordning (EU) nr 575/2013 </w:t>
            </w:r>
          </w:p>
          <w:p w14:paraId="7057DD3E" w14:textId="18CCDCA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Observera att det nominella värdet inte får minskas med specifika kreditriskjusteringar före tillämpning av konverteringsfaktorn.</w:t>
            </w:r>
            <w:r>
              <w:rPr>
                <w:sz w:val="24"/>
              </w:rPr>
              <w:t xml:space="preserve"> </w:t>
            </w:r>
            <w:r>
              <w:rPr>
                <w:rFonts w:ascii="Times New Roman" w:hAnsi="Times New Roman"/>
                <w:sz w:val="24"/>
              </w:rPr>
              <w:t>Enligt artikel 429f.2 får instituten i stället minska det belopp som motsvarar kreditriskexponeringen i fråga om en post utanför balansräkningen med motsvarande belopp i specifika kreditriskjusteringar. För denna beräkning gäller ett golv på noll.</w:t>
            </w:r>
          </w:p>
          <w:p w14:paraId="34359CD8" w14:textId="4FC2CED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Om ett åtagande avser utvidgning av en annan post utanför balansräkningen ska den lägre av de två konverteringsfaktorerna (för den post inom vilken åtagandet görs eller för typen av åtagande) användas i enlighet med artikel 111.3 i förordning (EU) nr 575/2013.</w:t>
            </w:r>
          </w:p>
          <w:p w14:paraId="39DFADB3" w14:textId="3712D59A" w:rsidR="00CB48CC" w:rsidRDefault="00CB48CC" w:rsidP="0061658B">
            <w:pPr>
              <w:pStyle w:val="BodyText1"/>
              <w:spacing w:after="240"/>
              <w:rPr>
                <w:rFonts w:ascii="Times New Roman" w:hAnsi="Times New Roman"/>
                <w:bCs/>
                <w:sz w:val="24"/>
                <w:szCs w:val="24"/>
              </w:rPr>
            </w:pPr>
            <w:r>
              <w:rPr>
                <w:rFonts w:ascii="Times New Roman" w:hAnsi="Times New Roman"/>
                <w:sz w:val="24"/>
              </w:rPr>
              <w:t>I denna cell ska institut inte inkludera de kontrakt som anges i bilaga II till förordning (EU) nr 575/2013, kreditderivat, transaktioner för värdepappersfinansiering och positioner som avses i artikel 429d i enlighet med artikel 429f i förordning (EU) nr 575/2013.</w:t>
            </w:r>
          </w:p>
          <w:p w14:paraId="2398A4B9" w14:textId="5CEEC100" w:rsidR="004B1D31" w:rsidRPr="000B66BC" w:rsidRDefault="004B1D31" w:rsidP="0061658B">
            <w:pPr>
              <w:pStyle w:val="BodyText1"/>
              <w:spacing w:after="240"/>
              <w:rPr>
                <w:rFonts w:ascii="Times New Roman" w:hAnsi="Times New Roman"/>
                <w:sz w:val="24"/>
                <w:szCs w:val="24"/>
              </w:rPr>
            </w:pPr>
            <w:r>
              <w:rPr>
                <w:rFonts w:ascii="Times New Roman" w:hAnsi="Times New Roman"/>
                <w:sz w:val="24"/>
              </w:rPr>
              <w:t xml:space="preserve">Instituten ska tillämpa en kreditkonverteringsfaktor på 10 % för villkorslöst </w:t>
            </w:r>
            <w:proofErr w:type="spellStart"/>
            <w:r>
              <w:rPr>
                <w:rFonts w:ascii="Times New Roman" w:hAnsi="Times New Roman"/>
                <w:sz w:val="24"/>
              </w:rPr>
              <w:t>annullerbara</w:t>
            </w:r>
            <w:proofErr w:type="spellEnd"/>
            <w:r>
              <w:rPr>
                <w:rFonts w:ascii="Times New Roman" w:hAnsi="Times New Roman"/>
                <w:sz w:val="24"/>
              </w:rPr>
              <w:t xml:space="preserve"> åtaganden, i enlighet med artikel 429f.3.</w:t>
            </w:r>
            <w:r>
              <w:rPr>
                <w:rFonts w:ascii="Times New Roman" w:hAnsi="Times New Roman"/>
                <w:color w:val="auto"/>
                <w:sz w:val="24"/>
              </w:rPr>
              <w:t xml:space="preserve"> </w:t>
            </w:r>
          </w:p>
        </w:tc>
      </w:tr>
      <w:tr w:rsidR="00CB48CC" w:rsidRPr="00E75BB8" w14:paraId="736A5471" w14:textId="77777777" w:rsidTr="008979D2">
        <w:trPr>
          <w:trHeight w:val="712"/>
        </w:trPr>
        <w:tc>
          <w:tcPr>
            <w:tcW w:w="1555" w:type="dxa"/>
            <w:gridSpan w:val="2"/>
          </w:tcPr>
          <w:p w14:paraId="7BB0A9E0" w14:textId="321744D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{0160;0010}</w:t>
            </w:r>
          </w:p>
        </w:tc>
        <w:tc>
          <w:tcPr>
            <w:tcW w:w="7566" w:type="dxa"/>
          </w:tcPr>
          <w:p w14:paraId="079FCB69" w14:textId="5B79425E"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Poster utanför balansräkningen med en kreditkonverteringsfaktor på 20 % enligt artikel 429f i CRR</w:t>
            </w:r>
          </w:p>
          <w:p w14:paraId="1808F2C6" w14:textId="505700F8" w:rsidR="00CB48CC" w:rsidRPr="000B66BC" w:rsidRDefault="004127BF" w:rsidP="000B66BC">
            <w:pPr>
              <w:pStyle w:val="BodyText1"/>
              <w:spacing w:after="240" w:line="240" w:lineRule="auto"/>
              <w:rPr>
                <w:rFonts w:ascii="Times New Roman" w:hAnsi="Times New Roman"/>
                <w:bCs/>
                <w:sz w:val="24"/>
                <w:szCs w:val="24"/>
              </w:rPr>
            </w:pPr>
            <w:r>
              <w:rPr>
                <w:rFonts w:ascii="Times New Roman" w:hAnsi="Times New Roman"/>
                <w:sz w:val="24"/>
              </w:rPr>
              <w:t>Exponeringsvärdet i enlighet med artikel 429f, artikel 111.2 d och artikel 111.3 i förordning (EU) nr 575/2013</w:t>
            </w:r>
          </w:p>
          <w:p w14:paraId="130864F0" w14:textId="06C16CD6" w:rsidR="00CB48CC" w:rsidRPr="000B66BC"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Förordning (EU) nr 575/2013 Observera att det nominella värdet inte får minskas med specifika kreditriskjusteringar före tillämpning av konverteringsfaktorn. Enligt artikel 429f.2 får instituten i stället minska det belopp som motsvarar kreditriskexponeringen i fråga om en post utanför balansräkningen med motsvarande belopp i specifika kreditriskjusteringar. För denna beräkning gäller ett golv på noll.</w:t>
            </w:r>
          </w:p>
          <w:p w14:paraId="771B332A" w14:textId="4AB3716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Om ett åtagande avser utvidgning av en annan post utanför balansräkningen ska den lägre av de två konverteringsfaktorerna (för den post inom vilken åtagandet görs eller för typen av åtagande) användas i enlighet med artikel 111.3 i förordning (EU) nr 575/2013.</w:t>
            </w:r>
          </w:p>
          <w:p w14:paraId="6986CCC3" w14:textId="4845021E" w:rsidR="003A5EB5"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I denna cell ska institut inte inkludera de kontrakt som anges i bilaga II till förordning (EU) nr 575/2013, kreditderivat, transaktioner för värdepappersfinansiering och positioner som avses i artikel 429d i enlighet med artikel 429f i förordning (EU) nr 575/2013.</w:t>
            </w:r>
          </w:p>
        </w:tc>
      </w:tr>
      <w:tr w:rsidR="00B64E88" w:rsidRPr="00E75BB8" w14:paraId="5D75FFBF" w14:textId="77777777" w:rsidTr="008979D2">
        <w:trPr>
          <w:trHeight w:val="304"/>
        </w:trPr>
        <w:tc>
          <w:tcPr>
            <w:tcW w:w="1555" w:type="dxa"/>
            <w:gridSpan w:val="2"/>
          </w:tcPr>
          <w:p w14:paraId="0E3E0D10" w14:textId="6E0627B6" w:rsidR="00B64E88" w:rsidRPr="000B66BC" w:rsidRDefault="00B64E88" w:rsidP="000B66BC">
            <w:pPr>
              <w:pStyle w:val="BodyText1"/>
              <w:spacing w:after="240"/>
              <w:rPr>
                <w:rFonts w:ascii="Times New Roman" w:hAnsi="Times New Roman"/>
                <w:bCs/>
                <w:sz w:val="24"/>
                <w:szCs w:val="24"/>
              </w:rPr>
            </w:pPr>
            <w:r>
              <w:rPr>
                <w:rFonts w:ascii="Times New Roman" w:hAnsi="Times New Roman"/>
                <w:sz w:val="24"/>
              </w:rPr>
              <w:lastRenderedPageBreak/>
              <w:t>{0165;0010}</w:t>
            </w:r>
          </w:p>
        </w:tc>
        <w:tc>
          <w:tcPr>
            <w:tcW w:w="7566" w:type="dxa"/>
          </w:tcPr>
          <w:p w14:paraId="2CE0BE47" w14:textId="1A6F01F5" w:rsidR="00B64E88" w:rsidRDefault="00412D6E" w:rsidP="000B66BC">
            <w:pPr>
              <w:pStyle w:val="BodyText1"/>
              <w:spacing w:after="240" w:line="240" w:lineRule="auto"/>
              <w:rPr>
                <w:rFonts w:ascii="Times New Roman" w:hAnsi="Times New Roman"/>
                <w:b/>
                <w:bCs/>
                <w:sz w:val="24"/>
                <w:szCs w:val="24"/>
              </w:rPr>
            </w:pPr>
            <w:r>
              <w:rPr>
                <w:rFonts w:ascii="Times New Roman" w:hAnsi="Times New Roman"/>
                <w:b/>
                <w:sz w:val="24"/>
              </w:rPr>
              <w:t>Poster utanför balansräkningen med en kreditkonverteringsfaktor på 40 % enligt artikel 429f i CRR</w:t>
            </w:r>
          </w:p>
          <w:p w14:paraId="733C45E6" w14:textId="419DBB23" w:rsidR="00DF7B01" w:rsidRPr="00012719" w:rsidRDefault="004127BF" w:rsidP="005A5E25">
            <w:pPr>
              <w:pStyle w:val="BodyText1"/>
              <w:spacing w:before="240" w:line="276" w:lineRule="auto"/>
              <w:rPr>
                <w:rFonts w:ascii="Times New Roman" w:hAnsi="Times New Roman"/>
                <w:bCs/>
                <w:sz w:val="24"/>
                <w:szCs w:val="24"/>
              </w:rPr>
            </w:pPr>
            <w:r>
              <w:rPr>
                <w:rFonts w:ascii="Times New Roman" w:hAnsi="Times New Roman"/>
                <w:sz w:val="24"/>
              </w:rPr>
              <w:t xml:space="preserve">Exponeringsvärdet i enlighet med artikel 429f, artikel </w:t>
            </w:r>
            <w:proofErr w:type="gramStart"/>
            <w:r>
              <w:rPr>
                <w:rFonts w:ascii="Times New Roman" w:hAnsi="Times New Roman"/>
                <w:sz w:val="24"/>
              </w:rPr>
              <w:t>111.2</w:t>
            </w:r>
            <w:proofErr w:type="gramEnd"/>
            <w:r>
              <w:rPr>
                <w:rFonts w:ascii="Times New Roman" w:hAnsi="Times New Roman"/>
                <w:sz w:val="24"/>
              </w:rPr>
              <w:t xml:space="preserve"> c och artikel 111.3 i förordning (EU) nr 575/2013</w:t>
            </w:r>
          </w:p>
          <w:p w14:paraId="0E51A0A8" w14:textId="11457FFC" w:rsidR="000D5576" w:rsidRPr="000B66BC" w:rsidRDefault="000D5576" w:rsidP="005A5E25">
            <w:pPr>
              <w:pStyle w:val="BodyText1"/>
              <w:spacing w:before="240" w:after="240" w:line="276" w:lineRule="auto"/>
              <w:rPr>
                <w:rFonts w:ascii="Times New Roman" w:hAnsi="Times New Roman"/>
                <w:bCs/>
                <w:sz w:val="24"/>
                <w:szCs w:val="24"/>
              </w:rPr>
            </w:pPr>
            <w:r>
              <w:rPr>
                <w:rFonts w:ascii="Times New Roman" w:hAnsi="Times New Roman"/>
                <w:sz w:val="24"/>
              </w:rPr>
              <w:t>Observera att det nominella värdet inte får minskas med specifika kreditriskjusteringar före tillämpning av konverteringsfaktorn. Enligt artikel 429f.2 får instituten i stället minska det belopp som motsvarar kreditriskexponeringen i fråga om en post utanför balansräkningen med motsvarande belopp i specifika kreditriskjusteringar. För denna beräkning gäller ett golv på noll.</w:t>
            </w:r>
          </w:p>
          <w:p w14:paraId="76BB5F85" w14:textId="192A0C50" w:rsidR="000D5576" w:rsidRPr="000B66BC" w:rsidRDefault="000D5576" w:rsidP="000D5576">
            <w:pPr>
              <w:pStyle w:val="BodyText1"/>
              <w:spacing w:after="240" w:line="240" w:lineRule="auto"/>
              <w:rPr>
                <w:rFonts w:ascii="Times New Roman" w:hAnsi="Times New Roman"/>
                <w:bCs/>
                <w:sz w:val="24"/>
                <w:szCs w:val="24"/>
              </w:rPr>
            </w:pPr>
            <w:r>
              <w:rPr>
                <w:rFonts w:ascii="Times New Roman" w:hAnsi="Times New Roman"/>
                <w:sz w:val="24"/>
              </w:rPr>
              <w:t>Om ett åtagande avser utvidgning av en annan post utanför balansräkningen ska den lägre av de två konverteringsfaktorerna (för den post inom vilken åtagandet görs eller för typen av åtagande) användas i enlighet med artikel 111.3 i förordning (EU) nr 575/2013.</w:t>
            </w:r>
          </w:p>
          <w:p w14:paraId="7D87CAA4" w14:textId="5E43F9DD" w:rsidR="000D5576" w:rsidRPr="000B66BC" w:rsidRDefault="000D5576" w:rsidP="000D5576">
            <w:pPr>
              <w:pStyle w:val="BodyText1"/>
              <w:spacing w:after="240" w:line="240" w:lineRule="auto"/>
              <w:rPr>
                <w:rFonts w:ascii="Times New Roman" w:hAnsi="Times New Roman"/>
                <w:b/>
                <w:bCs/>
                <w:sz w:val="24"/>
                <w:szCs w:val="24"/>
              </w:rPr>
            </w:pPr>
            <w:r>
              <w:rPr>
                <w:rFonts w:ascii="Times New Roman" w:hAnsi="Times New Roman"/>
                <w:sz w:val="24"/>
              </w:rPr>
              <w:t>I denna cell ska institut inte inkludera de kontrakt som anges i bilaga II till förordning (EU) nr 575/2013, kreditderivat, transaktioner för värdepappersfinansiering och positioner som avses i artikel 429d i enlighet med artikel 429f i förordning (EU) nr 575/2013.</w:t>
            </w:r>
          </w:p>
        </w:tc>
      </w:tr>
      <w:tr w:rsidR="00CB48CC" w:rsidRPr="00E75BB8" w14:paraId="3354B9C5" w14:textId="77777777" w:rsidTr="008979D2">
        <w:trPr>
          <w:trHeight w:val="304"/>
        </w:trPr>
        <w:tc>
          <w:tcPr>
            <w:tcW w:w="1555" w:type="dxa"/>
            <w:gridSpan w:val="2"/>
          </w:tcPr>
          <w:p w14:paraId="513659B4" w14:textId="6E2AF11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{0170;0010}</w:t>
            </w:r>
          </w:p>
          <w:p w14:paraId="2D1C2289"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B65BAF0" w14:textId="70D57BA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Poster utanför balansräkningen med en kreditkonverteringsfaktor på 50 % enligt artikel 429f i CRR</w:t>
            </w:r>
          </w:p>
          <w:p w14:paraId="7DA0F3D2" w14:textId="575D7B68" w:rsidR="00CB48CC" w:rsidRPr="000B66BC" w:rsidRDefault="004127BF" w:rsidP="000B66BC">
            <w:pPr>
              <w:pStyle w:val="BodyText1"/>
              <w:spacing w:after="240" w:line="240" w:lineRule="auto"/>
              <w:rPr>
                <w:rFonts w:ascii="Times New Roman" w:hAnsi="Times New Roman"/>
                <w:bCs/>
                <w:sz w:val="24"/>
                <w:szCs w:val="24"/>
              </w:rPr>
            </w:pPr>
            <w:r>
              <w:rPr>
                <w:rFonts w:ascii="Times New Roman" w:hAnsi="Times New Roman"/>
                <w:sz w:val="24"/>
              </w:rPr>
              <w:t>Exponeringsvärdet i enlighet med artikel 429f, artikel 111.2 b och artikel 111.3 i förordning (EU) nr 575/2013</w:t>
            </w:r>
          </w:p>
          <w:p w14:paraId="512D74AD" w14:textId="0B92D63F" w:rsidR="00CB48CC" w:rsidRPr="000B66BC"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Förordning (EU) nr 575/2013 Observera att det nominella värdet inte får minskas med specifika kreditriskjusteringar före tillämpning av konverteringsfaktorn. Enligt artikel 429f.2 får instituten i stället minska det belopp som motsvarar kreditriskexponeringen i fråga om en post utanför balansräkningen med motsvarande belopp i specifika kreditriskjusteringar. För denna beräkning gäller ett golv på noll.</w:t>
            </w:r>
          </w:p>
          <w:p w14:paraId="116B0E4F" w14:textId="1B31E16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Denna cell innefattar likviditetsfaciliteter och andra åtaganden om värdepapperisering. Med andra ord är konverteringsfaktorn för alla </w:t>
            </w:r>
            <w:r>
              <w:rPr>
                <w:rFonts w:ascii="Times New Roman" w:hAnsi="Times New Roman"/>
                <w:sz w:val="24"/>
              </w:rPr>
              <w:lastRenderedPageBreak/>
              <w:t>likviditetsfaciliteter i enlighet med artikel 255 i förordning (EU) nr 575/2013 50 % oavsett löptid.</w:t>
            </w:r>
          </w:p>
          <w:p w14:paraId="4339295A" w14:textId="1AC63CC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Om ett åtagande avser utvidgning av en annan post utanför balansräkningen ska den lägre av de två konverteringsfaktorerna (för den post inom vilken åtagandet görs eller för typen av åtagande) användas i enlighet med artikel 111.3 i förordning (EU) nr 575/2013.</w:t>
            </w:r>
          </w:p>
          <w:p w14:paraId="6DDC311B" w14:textId="77CB6B51"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I denna cell ska institut inte inkludera de kontrakt som anges i bilaga II till förordning (EU) nr 575/2013, kreditderivat, transaktioner för värdepappersfinansiering och positioner som avses i artikel 429d i enlighet med artikel 429f i förordning (EU) nr 575/2013.</w:t>
            </w:r>
          </w:p>
        </w:tc>
      </w:tr>
      <w:tr w:rsidR="00CB48CC" w:rsidRPr="00E75BB8" w14:paraId="0A0BB45E" w14:textId="77777777" w:rsidTr="008979D2">
        <w:trPr>
          <w:trHeight w:val="304"/>
        </w:trPr>
        <w:tc>
          <w:tcPr>
            <w:tcW w:w="1555" w:type="dxa"/>
            <w:gridSpan w:val="2"/>
            <w:tcBorders>
              <w:bottom w:val="single" w:sz="4" w:space="0" w:color="auto"/>
            </w:tcBorders>
          </w:tcPr>
          <w:p w14:paraId="546786C4" w14:textId="1D71B0CD"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{0180;0010}</w:t>
            </w:r>
          </w:p>
          <w:p w14:paraId="22AA02FE"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F41926D" w14:textId="591860B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xml:space="preserve">Poster utanför balansräkningen med en kreditkonverteringsfaktor på 100 % enligt artikel 429f i CRR </w:t>
            </w:r>
          </w:p>
          <w:p w14:paraId="603EE80E" w14:textId="5805ED8A" w:rsidR="00CB48CC" w:rsidRPr="000B66BC" w:rsidRDefault="00D3062A" w:rsidP="000B66BC">
            <w:pPr>
              <w:pStyle w:val="BodyText1"/>
              <w:spacing w:after="240" w:line="240" w:lineRule="auto"/>
              <w:rPr>
                <w:rFonts w:ascii="Times New Roman" w:hAnsi="Times New Roman"/>
                <w:bCs/>
                <w:sz w:val="24"/>
                <w:szCs w:val="24"/>
              </w:rPr>
            </w:pPr>
            <w:r>
              <w:rPr>
                <w:rFonts w:ascii="Times New Roman" w:hAnsi="Times New Roman"/>
                <w:sz w:val="24"/>
              </w:rPr>
              <w:t>Exponeringsvärdet i enlighet med artikel 429f, artikel 111.2 a och artikel 111.3 i förordning (EU) nr 575/2013</w:t>
            </w:r>
          </w:p>
          <w:p w14:paraId="02A01DC2" w14:textId="1E1A0970" w:rsidR="00CB48CC" w:rsidRPr="000B66BC"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Förordning (EU) nr 575/2013 Observera att det nominella värdet inte får minskas med specifika kreditriskjusteringar före tillämpning av konverteringsfaktorn. Enligt artikel 429f.2 får instituten i stället minska det belopp som motsvarar kreditriskexponeringen i fråga om en post utanför balansräkningen med motsvarande belopp i specifika kreditriskjusteringar. För denna beräkning gäller ett golv på noll.</w:t>
            </w:r>
          </w:p>
          <w:p w14:paraId="12BC0F57" w14:textId="6A8A33B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Denna cell innefattar likviditetsfaciliteter och andra åtaganden om värdepapperisering.</w:t>
            </w:r>
          </w:p>
          <w:p w14:paraId="01861A93" w14:textId="1AF15CC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Om ett åtagande avser utvidgning av en annan post utanför balansräkningen ska den lägre av de två konverteringsfaktorerna (för den post inom vilken åtagandet görs eller för typen av åtagande) användas i enlighet med artikel 111.3 i förordning (EU) nr 575/2013.</w:t>
            </w:r>
          </w:p>
          <w:p w14:paraId="37DBE5CD" w14:textId="2DDC0E00"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sz w:val="24"/>
              </w:rPr>
              <w:t>I denna cell ska institut inte inkludera de kontrakt som anges i bilaga II till förordning (EU) nr 575/2013, kreditderivat, transaktioner för värdepappersfinansiering och positioner som avses i artikel 429d i enlighet med artikel 429f i förordning (EU) nr 575/2013.</w:t>
            </w:r>
          </w:p>
        </w:tc>
      </w:tr>
      <w:tr w:rsidR="00CB48CC" w:rsidRPr="00E75BB8" w14:paraId="36A7A2BB" w14:textId="77777777" w:rsidTr="008979D2">
        <w:trPr>
          <w:trHeight w:val="304"/>
        </w:trPr>
        <w:tc>
          <w:tcPr>
            <w:tcW w:w="1555" w:type="dxa"/>
            <w:gridSpan w:val="2"/>
            <w:tcBorders>
              <w:bottom w:val="single" w:sz="4" w:space="0" w:color="auto"/>
            </w:tcBorders>
            <w:vAlign w:val="center"/>
          </w:tcPr>
          <w:p w14:paraId="7E132F7E" w14:textId="5BAF48E5"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{0181;0010}</w:t>
            </w:r>
          </w:p>
          <w:p w14:paraId="41120190"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vAlign w:val="center"/>
          </w:tcPr>
          <w:p w14:paraId="6AD2D6D7"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Allmänna kreditriskjusteringar av poster utanför balansräkningen </w:t>
            </w:r>
          </w:p>
          <w:p w14:paraId="62AD4ABC" w14:textId="6E11CF8B"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Artikel 429.4 i förordning (EU) nr 575/2013</w:t>
            </w:r>
          </w:p>
          <w:p w14:paraId="301E11EC" w14:textId="7BD850E1"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sz w:val="24"/>
              </w:rPr>
              <w:t>Beloppet för allmänna kreditriskjusteringar som motsvarar poster utanför balansräkningen enligt artikel 429.4 d, som instituten drar av i enlighet med artikel 429.4 sista stycket i förordning (EU) nr 575/2013.</w:t>
            </w:r>
          </w:p>
          <w:p w14:paraId="2059F8B9" w14:textId="5CF2B1A7" w:rsidR="00CB48CC" w:rsidRPr="000B66BC" w:rsidRDefault="00CB48CC" w:rsidP="0061658B">
            <w:pPr>
              <w:pStyle w:val="BodyText1"/>
              <w:spacing w:after="240"/>
              <w:rPr>
                <w:rFonts w:ascii="Times New Roman" w:hAnsi="Times New Roman"/>
                <w:color w:val="auto"/>
                <w:sz w:val="24"/>
                <w:szCs w:val="24"/>
              </w:rPr>
            </w:pPr>
            <w:r>
              <w:rPr>
                <w:rFonts w:ascii="Times New Roman" w:hAnsi="Times New Roman"/>
                <w:sz w:val="24"/>
              </w:rPr>
              <w:lastRenderedPageBreak/>
              <w:t>Det rapporterade beloppet ska inte beaktas som en minskning vid beräkningen av poster utanför balansräkningen som rapporteras på raderna {0150;0010} till {0180;0010}.</w:t>
            </w:r>
          </w:p>
        </w:tc>
      </w:tr>
      <w:tr w:rsidR="00CB48CC" w:rsidRPr="00E75BB8" w14:paraId="1DF5F072" w14:textId="77777777" w:rsidTr="008979D2">
        <w:trPr>
          <w:trHeight w:val="304"/>
        </w:trPr>
        <w:tc>
          <w:tcPr>
            <w:tcW w:w="1555" w:type="dxa"/>
            <w:gridSpan w:val="2"/>
            <w:tcBorders>
              <w:bottom w:val="single" w:sz="4" w:space="0" w:color="auto"/>
            </w:tcBorders>
          </w:tcPr>
          <w:p w14:paraId="581AAB63" w14:textId="5DF88AB5"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{0185;0010}</w:t>
            </w:r>
          </w:p>
          <w:p w14:paraId="122DCB6F"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01E22C55" w14:textId="6F2775AA" w:rsidR="00CB48CC" w:rsidRPr="000B66BC" w:rsidRDefault="00CB48CC" w:rsidP="000B66BC">
            <w:pPr>
              <w:pStyle w:val="BodyText1"/>
              <w:spacing w:after="240" w:line="240" w:lineRule="auto"/>
              <w:rPr>
                <w:rFonts w:ascii="Times New Roman" w:hAnsi="Times New Roman"/>
                <w:b/>
                <w:bCs/>
                <w:color w:val="auto"/>
                <w:sz w:val="24"/>
                <w:szCs w:val="24"/>
              </w:rPr>
            </w:pPr>
            <w:proofErr w:type="spellStart"/>
            <w:r>
              <w:rPr>
                <w:rFonts w:ascii="Times New Roman" w:hAnsi="Times New Roman"/>
                <w:b/>
                <w:color w:val="auto"/>
                <w:sz w:val="24"/>
              </w:rPr>
              <w:t>Avistaköp</w:t>
            </w:r>
            <w:proofErr w:type="spellEnd"/>
            <w:r>
              <w:rPr>
                <w:rFonts w:ascii="Times New Roman" w:hAnsi="Times New Roman"/>
                <w:b/>
                <w:color w:val="auto"/>
                <w:sz w:val="24"/>
              </w:rPr>
              <w:t xml:space="preserve"> och </w:t>
            </w:r>
            <w:proofErr w:type="spellStart"/>
            <w:r>
              <w:rPr>
                <w:rFonts w:ascii="Times New Roman" w:hAnsi="Times New Roman"/>
                <w:b/>
                <w:color w:val="auto"/>
                <w:sz w:val="24"/>
              </w:rPr>
              <w:t>avistaförsäljningar</w:t>
            </w:r>
            <w:proofErr w:type="spellEnd"/>
            <w:r>
              <w:rPr>
                <w:rFonts w:ascii="Times New Roman" w:hAnsi="Times New Roman"/>
                <w:b/>
                <w:color w:val="auto"/>
                <w:sz w:val="24"/>
              </w:rPr>
              <w:t xml:space="preserve"> som väntar på avveckling: Bokfört värde enligt affärsdagsredovisning </w:t>
            </w:r>
          </w:p>
          <w:p w14:paraId="4C694246" w14:textId="0854703B"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sz w:val="24"/>
              </w:rPr>
              <w:t>Artikel 429g.1 i förordning (EU) nr 575/2013</w:t>
            </w:r>
          </w:p>
          <w:p w14:paraId="7D206739" w14:textId="0B1BCEAC" w:rsidR="00272017" w:rsidRPr="000B66BC" w:rsidRDefault="00272017" w:rsidP="000B66BC">
            <w:pPr>
              <w:pStyle w:val="BodyText1"/>
              <w:spacing w:after="240" w:line="240" w:lineRule="auto"/>
              <w:rPr>
                <w:rFonts w:ascii="Times New Roman" w:hAnsi="Times New Roman"/>
                <w:bCs/>
                <w:color w:val="auto"/>
                <w:sz w:val="24"/>
                <w:szCs w:val="24"/>
              </w:rPr>
            </w:pPr>
            <w:r>
              <w:rPr>
                <w:rFonts w:ascii="Times New Roman" w:hAnsi="Times New Roman"/>
                <w:color w:val="auto"/>
                <w:sz w:val="24"/>
              </w:rPr>
              <w:t>Summan av följande:</w:t>
            </w:r>
          </w:p>
          <w:p w14:paraId="5F24E6D9" w14:textId="18634CD3" w:rsidR="00995F8D" w:rsidRPr="000B66BC" w:rsidRDefault="00995F8D" w:rsidP="000B66BC">
            <w:pPr>
              <w:pStyle w:val="BodyText1"/>
              <w:numPr>
                <w:ilvl w:val="0"/>
                <w:numId w:val="42"/>
              </w:numPr>
              <w:spacing w:after="240"/>
              <w:rPr>
                <w:rFonts w:ascii="Times New Roman" w:hAnsi="Times New Roman"/>
                <w:bCs/>
                <w:color w:val="auto"/>
                <w:sz w:val="24"/>
                <w:szCs w:val="24"/>
              </w:rPr>
            </w:pPr>
            <w:r>
              <w:rPr>
                <w:rFonts w:ascii="Times New Roman" w:hAnsi="Times New Roman"/>
                <w:sz w:val="24"/>
              </w:rPr>
              <w:t xml:space="preserve">Det kontantbelopp som avser </w:t>
            </w:r>
            <w:proofErr w:type="spellStart"/>
            <w:r>
              <w:rPr>
                <w:rFonts w:ascii="Times New Roman" w:hAnsi="Times New Roman"/>
                <w:sz w:val="24"/>
              </w:rPr>
              <w:t>avistaköp</w:t>
            </w:r>
            <w:proofErr w:type="spellEnd"/>
            <w:r>
              <w:rPr>
                <w:rFonts w:ascii="Times New Roman" w:hAnsi="Times New Roman"/>
                <w:sz w:val="24"/>
              </w:rPr>
              <w:t xml:space="preserve"> som kvarstår på balansräkningen fram till </w:t>
            </w:r>
            <w:proofErr w:type="spellStart"/>
            <w:r>
              <w:rPr>
                <w:rFonts w:ascii="Times New Roman" w:hAnsi="Times New Roman"/>
                <w:sz w:val="24"/>
              </w:rPr>
              <w:t>avvecklingsdagen</w:t>
            </w:r>
            <w:proofErr w:type="spellEnd"/>
            <w:r>
              <w:rPr>
                <w:rFonts w:ascii="Times New Roman" w:hAnsi="Times New Roman"/>
                <w:sz w:val="24"/>
              </w:rPr>
              <w:t xml:space="preserve"> som tillgångar i enlighet med artikel 429.4 a i förordning (EU) nr 575/2013.</w:t>
            </w:r>
          </w:p>
          <w:p w14:paraId="72B0EC2C" w14:textId="3486F47F" w:rsidR="00995F8D" w:rsidRPr="000B66BC" w:rsidRDefault="00272017" w:rsidP="000B66BC">
            <w:pPr>
              <w:pStyle w:val="BodyText1"/>
              <w:numPr>
                <w:ilvl w:val="0"/>
                <w:numId w:val="42"/>
              </w:numPr>
              <w:spacing w:after="240"/>
              <w:rPr>
                <w:rFonts w:ascii="Times New Roman" w:hAnsi="Times New Roman"/>
                <w:bCs/>
                <w:color w:val="auto"/>
                <w:sz w:val="24"/>
                <w:szCs w:val="24"/>
              </w:rPr>
            </w:pPr>
            <w:r>
              <w:rPr>
                <w:rFonts w:ascii="Times New Roman" w:hAnsi="Times New Roman"/>
                <w:sz w:val="24"/>
              </w:rPr>
              <w:t xml:space="preserve">De kontantfordringar som avser till </w:t>
            </w:r>
            <w:proofErr w:type="spellStart"/>
            <w:r>
              <w:rPr>
                <w:rFonts w:ascii="Times New Roman" w:hAnsi="Times New Roman"/>
                <w:sz w:val="24"/>
              </w:rPr>
              <w:t>avistaförsäljningar</w:t>
            </w:r>
            <w:proofErr w:type="spellEnd"/>
            <w:r>
              <w:rPr>
                <w:rFonts w:ascii="Times New Roman" w:hAnsi="Times New Roman"/>
                <w:sz w:val="24"/>
              </w:rPr>
              <w:t xml:space="preserve"> som kvarstår på balansräkningen fram till </w:t>
            </w:r>
            <w:proofErr w:type="spellStart"/>
            <w:r>
              <w:rPr>
                <w:rFonts w:ascii="Times New Roman" w:hAnsi="Times New Roman"/>
                <w:sz w:val="24"/>
              </w:rPr>
              <w:t>avvecklingsdagen</w:t>
            </w:r>
            <w:proofErr w:type="spellEnd"/>
            <w:r>
              <w:rPr>
                <w:rFonts w:ascii="Times New Roman" w:hAnsi="Times New Roman"/>
                <w:sz w:val="24"/>
              </w:rPr>
              <w:t xml:space="preserve"> som tillgångar i enlighet med artikel 429.4 a i förordning (EU) nr 575/2013.</w:t>
            </w:r>
            <w:r>
              <w:rPr>
                <w:rFonts w:ascii="Times New Roman" w:hAnsi="Times New Roman"/>
                <w:color w:val="auto"/>
                <w:sz w:val="24"/>
              </w:rPr>
              <w:t xml:space="preserve"> Detta är beloppet är efter effekten av kvittning mellan kontantfordringar för </w:t>
            </w:r>
            <w:proofErr w:type="spellStart"/>
            <w:r>
              <w:rPr>
                <w:rFonts w:ascii="Times New Roman" w:hAnsi="Times New Roman"/>
                <w:color w:val="auto"/>
                <w:sz w:val="24"/>
              </w:rPr>
              <w:t>avistaförsäljningar</w:t>
            </w:r>
            <w:proofErr w:type="spellEnd"/>
            <w:r>
              <w:rPr>
                <w:rFonts w:ascii="Times New Roman" w:hAnsi="Times New Roman"/>
                <w:color w:val="auto"/>
                <w:sz w:val="24"/>
              </w:rPr>
              <w:t xml:space="preserve"> som väntar på avveckling och kontantskulder för </w:t>
            </w:r>
            <w:proofErr w:type="spellStart"/>
            <w:r>
              <w:rPr>
                <w:rFonts w:ascii="Times New Roman" w:hAnsi="Times New Roman"/>
                <w:color w:val="auto"/>
                <w:sz w:val="24"/>
              </w:rPr>
              <w:t>avistaköp</w:t>
            </w:r>
            <w:proofErr w:type="spellEnd"/>
            <w:r>
              <w:rPr>
                <w:rFonts w:ascii="Times New Roman" w:hAnsi="Times New Roman"/>
                <w:color w:val="auto"/>
                <w:sz w:val="24"/>
              </w:rPr>
              <w:t xml:space="preserve"> som väntar på avveckling, i enlighet med de tillämpliga redovisningsreglerna.</w:t>
            </w:r>
          </w:p>
          <w:p w14:paraId="5C35FB48" w14:textId="21B2EF08" w:rsidR="00CB48CC" w:rsidRPr="000B66BC" w:rsidRDefault="00272017"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 xml:space="preserve">Institut som tillämpar affärsdagsredovisning ska rapportera ovannämnda summa i denna cell i stället för på rad 0190 ”Övriga tillgångar”, men ska rapportera värdepapper kopplade till </w:t>
            </w:r>
            <w:proofErr w:type="spellStart"/>
            <w:r>
              <w:rPr>
                <w:rFonts w:ascii="Times New Roman" w:hAnsi="Times New Roman"/>
                <w:color w:val="auto"/>
                <w:sz w:val="24"/>
              </w:rPr>
              <w:t>avistaköp</w:t>
            </w:r>
            <w:proofErr w:type="spellEnd"/>
            <w:r>
              <w:rPr>
                <w:rFonts w:ascii="Times New Roman" w:hAnsi="Times New Roman"/>
                <w:color w:val="auto"/>
                <w:sz w:val="24"/>
              </w:rPr>
              <w:t xml:space="preserve"> på rad 0190.</w:t>
            </w:r>
          </w:p>
        </w:tc>
      </w:tr>
      <w:tr w:rsidR="00CB48CC" w:rsidRPr="00E75BB8" w14:paraId="5102550B" w14:textId="77777777" w:rsidTr="008979D2">
        <w:trPr>
          <w:trHeight w:val="304"/>
        </w:trPr>
        <w:tc>
          <w:tcPr>
            <w:tcW w:w="1555" w:type="dxa"/>
            <w:gridSpan w:val="2"/>
            <w:tcBorders>
              <w:bottom w:val="single" w:sz="4" w:space="0" w:color="auto"/>
            </w:tcBorders>
          </w:tcPr>
          <w:p w14:paraId="7F15FF7B" w14:textId="4280A8CB"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{0186;0010}</w:t>
            </w:r>
          </w:p>
          <w:p w14:paraId="09F7091F"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25B26A" w14:textId="37531743" w:rsidR="00CB48CC" w:rsidRPr="000B66BC" w:rsidRDefault="00CB48CC" w:rsidP="000B66BC">
            <w:pPr>
              <w:pStyle w:val="BodyText1"/>
              <w:spacing w:after="240" w:line="240" w:lineRule="auto"/>
              <w:rPr>
                <w:rFonts w:ascii="Times New Roman" w:hAnsi="Times New Roman"/>
                <w:b/>
                <w:bCs/>
                <w:color w:val="auto"/>
                <w:sz w:val="24"/>
                <w:szCs w:val="24"/>
              </w:rPr>
            </w:pPr>
            <w:proofErr w:type="spellStart"/>
            <w:r>
              <w:rPr>
                <w:rFonts w:ascii="Times New Roman" w:hAnsi="Times New Roman"/>
                <w:b/>
                <w:color w:val="auto"/>
                <w:sz w:val="24"/>
              </w:rPr>
              <w:t>Avistaförsäljningar</w:t>
            </w:r>
            <w:proofErr w:type="spellEnd"/>
            <w:r>
              <w:rPr>
                <w:rFonts w:ascii="Times New Roman" w:hAnsi="Times New Roman"/>
                <w:b/>
                <w:color w:val="auto"/>
                <w:sz w:val="24"/>
              </w:rPr>
              <w:t xml:space="preserve"> som väntar på avveckling: Omvändning av kvittning i redovisningen enligt affärsdagsredovisning</w:t>
            </w:r>
          </w:p>
          <w:p w14:paraId="20327055" w14:textId="385E8EAB"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sz w:val="24"/>
              </w:rPr>
              <w:t>Artikel 429g.2 i förordning (EU) nr 575/2013</w:t>
            </w:r>
          </w:p>
          <w:p w14:paraId="4A0C32B6" w14:textId="15F13BC7" w:rsidR="002B0AA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 xml:space="preserve">Det belopp som kvittas mellan kontantfordringar för </w:t>
            </w:r>
            <w:proofErr w:type="spellStart"/>
            <w:r>
              <w:rPr>
                <w:rFonts w:ascii="Times New Roman" w:hAnsi="Times New Roman"/>
                <w:color w:val="auto"/>
                <w:sz w:val="24"/>
              </w:rPr>
              <w:t>avistaförsäljningar</w:t>
            </w:r>
            <w:proofErr w:type="spellEnd"/>
            <w:r>
              <w:rPr>
                <w:rFonts w:ascii="Times New Roman" w:hAnsi="Times New Roman"/>
                <w:color w:val="auto"/>
                <w:sz w:val="24"/>
              </w:rPr>
              <w:t xml:space="preserve"> som väntar på avveckling och kontantskulder för </w:t>
            </w:r>
            <w:proofErr w:type="spellStart"/>
            <w:r>
              <w:rPr>
                <w:rFonts w:ascii="Times New Roman" w:hAnsi="Times New Roman"/>
                <w:color w:val="auto"/>
                <w:sz w:val="24"/>
              </w:rPr>
              <w:t>avistaköp</w:t>
            </w:r>
            <w:proofErr w:type="spellEnd"/>
            <w:r>
              <w:rPr>
                <w:rFonts w:ascii="Times New Roman" w:hAnsi="Times New Roman"/>
                <w:color w:val="auto"/>
                <w:sz w:val="24"/>
              </w:rPr>
              <w:t xml:space="preserve"> som väntar på avveckling i enlighet med redovisningsreglerna.</w:t>
            </w:r>
          </w:p>
        </w:tc>
      </w:tr>
      <w:tr w:rsidR="00195426" w:rsidRPr="00E75BB8" w14:paraId="78EEA43B" w14:textId="77777777" w:rsidTr="008979D2">
        <w:trPr>
          <w:trHeight w:val="304"/>
        </w:trPr>
        <w:tc>
          <w:tcPr>
            <w:tcW w:w="1555" w:type="dxa"/>
            <w:gridSpan w:val="2"/>
            <w:tcBorders>
              <w:bottom w:val="single" w:sz="4" w:space="0" w:color="auto"/>
            </w:tcBorders>
          </w:tcPr>
          <w:p w14:paraId="61857A89" w14:textId="623EBF8F" w:rsidR="00195426" w:rsidRPr="000B66BC" w:rsidRDefault="00195426" w:rsidP="000B66BC">
            <w:pPr>
              <w:pStyle w:val="BodyText1"/>
              <w:spacing w:after="240"/>
              <w:rPr>
                <w:rFonts w:ascii="Times New Roman" w:hAnsi="Times New Roman"/>
                <w:bCs/>
                <w:sz w:val="24"/>
                <w:szCs w:val="24"/>
              </w:rPr>
            </w:pPr>
            <w:r>
              <w:rPr>
                <w:rFonts w:ascii="Times New Roman" w:hAnsi="Times New Roman"/>
                <w:sz w:val="24"/>
              </w:rPr>
              <w:t>{0187;0010}</w:t>
            </w:r>
          </w:p>
          <w:p w14:paraId="58BAB70E" w14:textId="77777777" w:rsidR="00195426" w:rsidRPr="000B66BC" w:rsidRDefault="00195426"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510C554" w14:textId="68E20342" w:rsidR="00195426" w:rsidRPr="000B66BC" w:rsidRDefault="00195426" w:rsidP="000B66BC">
            <w:pPr>
              <w:pStyle w:val="BodyText1"/>
              <w:spacing w:after="240" w:line="240" w:lineRule="auto"/>
              <w:rPr>
                <w:rFonts w:ascii="Times New Roman" w:hAnsi="Times New Roman"/>
                <w:bCs/>
                <w:sz w:val="24"/>
                <w:szCs w:val="24"/>
              </w:rPr>
            </w:pPr>
            <w:r>
              <w:rPr>
                <w:rFonts w:ascii="Times New Roman" w:hAnsi="Times New Roman"/>
                <w:b/>
                <w:color w:val="auto"/>
                <w:sz w:val="24"/>
              </w:rPr>
              <w:t xml:space="preserve">(–) </w:t>
            </w:r>
            <w:proofErr w:type="spellStart"/>
            <w:r>
              <w:rPr>
                <w:rFonts w:ascii="Times New Roman" w:hAnsi="Times New Roman"/>
                <w:b/>
                <w:color w:val="auto"/>
                <w:sz w:val="24"/>
              </w:rPr>
              <w:t>Avistaförsäljningar</w:t>
            </w:r>
            <w:proofErr w:type="spellEnd"/>
            <w:r>
              <w:rPr>
                <w:rFonts w:ascii="Times New Roman" w:hAnsi="Times New Roman"/>
                <w:b/>
                <w:color w:val="auto"/>
                <w:sz w:val="24"/>
              </w:rPr>
              <w:t xml:space="preserve"> som väntar på avveckling: kvittning i enlighet med artikel 429g.2 i CRR</w:t>
            </w:r>
          </w:p>
          <w:p w14:paraId="416B6808" w14:textId="30634B7B" w:rsidR="00195426" w:rsidRPr="000B66BC" w:rsidRDefault="00195426" w:rsidP="000B66BC">
            <w:pPr>
              <w:pStyle w:val="BodyText1"/>
              <w:spacing w:after="240" w:line="240" w:lineRule="auto"/>
              <w:rPr>
                <w:rFonts w:ascii="Times New Roman" w:hAnsi="Times New Roman"/>
                <w:color w:val="auto"/>
                <w:sz w:val="24"/>
                <w:szCs w:val="24"/>
              </w:rPr>
            </w:pPr>
            <w:r>
              <w:rPr>
                <w:rFonts w:ascii="Times New Roman" w:hAnsi="Times New Roman"/>
                <w:sz w:val="24"/>
              </w:rPr>
              <w:t>Artikel 429g.2 i förordning (EU) nr 575/2013</w:t>
            </w:r>
          </w:p>
          <w:p w14:paraId="057F1FAB" w14:textId="6C538100" w:rsidR="00195426" w:rsidRPr="000B66BC" w:rsidRDefault="00195426" w:rsidP="000B66BC">
            <w:pPr>
              <w:pStyle w:val="BodyText1"/>
              <w:spacing w:after="240"/>
              <w:rPr>
                <w:rFonts w:ascii="Times New Roman" w:hAnsi="Times New Roman"/>
                <w:b/>
                <w:bCs/>
                <w:color w:val="auto"/>
                <w:sz w:val="24"/>
                <w:szCs w:val="24"/>
              </w:rPr>
            </w:pPr>
            <w:r>
              <w:rPr>
                <w:rFonts w:ascii="Times New Roman" w:hAnsi="Times New Roman"/>
                <w:sz w:val="24"/>
              </w:rPr>
              <w:t xml:space="preserve">Det belopp som kvittas mellan kontantfordringar och kontantskulder när både relaterade </w:t>
            </w:r>
            <w:proofErr w:type="spellStart"/>
            <w:r>
              <w:rPr>
                <w:rFonts w:ascii="Times New Roman" w:hAnsi="Times New Roman"/>
                <w:sz w:val="24"/>
              </w:rPr>
              <w:t>avistaförsäljningar</w:t>
            </w:r>
            <w:proofErr w:type="spellEnd"/>
            <w:r>
              <w:rPr>
                <w:rFonts w:ascii="Times New Roman" w:hAnsi="Times New Roman"/>
                <w:sz w:val="24"/>
              </w:rPr>
              <w:t xml:space="preserve"> och </w:t>
            </w:r>
            <w:proofErr w:type="spellStart"/>
            <w:r>
              <w:rPr>
                <w:rFonts w:ascii="Times New Roman" w:hAnsi="Times New Roman"/>
                <w:sz w:val="24"/>
              </w:rPr>
              <w:t>avistaköp</w:t>
            </w:r>
            <w:proofErr w:type="spellEnd"/>
            <w:r>
              <w:rPr>
                <w:rFonts w:ascii="Times New Roman" w:hAnsi="Times New Roman"/>
                <w:sz w:val="24"/>
              </w:rPr>
              <w:t xml:space="preserve"> avvecklas genom leverans mot betalning i enlighet med artikel 429g.2 i förordning (EU) nr 575/2013.</w:t>
            </w:r>
          </w:p>
        </w:tc>
      </w:tr>
      <w:tr w:rsidR="00CB48CC" w:rsidRPr="00E75BB8" w14:paraId="664DB6ED" w14:textId="77777777" w:rsidTr="008979D2">
        <w:trPr>
          <w:trHeight w:val="304"/>
        </w:trPr>
        <w:tc>
          <w:tcPr>
            <w:tcW w:w="1555" w:type="dxa"/>
            <w:gridSpan w:val="2"/>
            <w:tcBorders>
              <w:bottom w:val="single" w:sz="4" w:space="0" w:color="auto"/>
            </w:tcBorders>
          </w:tcPr>
          <w:p w14:paraId="761F65B7" w14:textId="0803C63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{0188;0010}</w:t>
            </w:r>
          </w:p>
          <w:p w14:paraId="2D8E081B"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CD9B991" w14:textId="1F5C665A" w:rsidR="00CB48CC" w:rsidRPr="000B66BC" w:rsidRDefault="00CB48CC" w:rsidP="000B66BC">
            <w:pPr>
              <w:pStyle w:val="BodyText1"/>
              <w:spacing w:after="240" w:line="240" w:lineRule="auto"/>
              <w:rPr>
                <w:rFonts w:ascii="Times New Roman" w:hAnsi="Times New Roman"/>
                <w:b/>
                <w:bCs/>
                <w:color w:val="auto"/>
                <w:sz w:val="24"/>
                <w:szCs w:val="24"/>
              </w:rPr>
            </w:pPr>
            <w:proofErr w:type="spellStart"/>
            <w:r>
              <w:rPr>
                <w:rFonts w:ascii="Times New Roman" w:hAnsi="Times New Roman"/>
                <w:b/>
                <w:color w:val="auto"/>
                <w:sz w:val="24"/>
              </w:rPr>
              <w:t>Avistaköp</w:t>
            </w:r>
            <w:proofErr w:type="spellEnd"/>
            <w:r>
              <w:rPr>
                <w:rFonts w:ascii="Times New Roman" w:hAnsi="Times New Roman"/>
                <w:b/>
                <w:color w:val="auto"/>
                <w:sz w:val="24"/>
              </w:rPr>
              <w:t xml:space="preserve"> som väntar på avveckling: fullständig redovisning av betalningsåtaganden enligt likviddagsredovisning </w:t>
            </w:r>
          </w:p>
          <w:p w14:paraId="0305F981" w14:textId="4F83E6AC" w:rsidR="00CB48CC" w:rsidRPr="000B66BC" w:rsidRDefault="00195426" w:rsidP="000B66BC">
            <w:pPr>
              <w:pStyle w:val="BodyText1"/>
              <w:spacing w:after="240" w:line="240" w:lineRule="auto"/>
              <w:rPr>
                <w:rFonts w:ascii="Times New Roman" w:hAnsi="Times New Roman"/>
                <w:b/>
                <w:bCs/>
                <w:color w:val="auto"/>
                <w:sz w:val="24"/>
                <w:szCs w:val="24"/>
              </w:rPr>
            </w:pPr>
            <w:r>
              <w:rPr>
                <w:rFonts w:ascii="Times New Roman" w:hAnsi="Times New Roman"/>
                <w:sz w:val="24"/>
              </w:rPr>
              <w:lastRenderedPageBreak/>
              <w:t>Artikel 429g.3 i förordning (EU) nr 575/2013</w:t>
            </w:r>
          </w:p>
          <w:p w14:paraId="17418655" w14:textId="77777777" w:rsidR="00CB48CC" w:rsidRPr="000B66BC" w:rsidRDefault="00CB48CC" w:rsidP="000B66BC">
            <w:pPr>
              <w:pStyle w:val="BodyText1"/>
              <w:spacing w:after="240"/>
              <w:rPr>
                <w:rFonts w:ascii="Times New Roman" w:hAnsi="Times New Roman"/>
                <w:bCs/>
                <w:color w:val="auto"/>
                <w:sz w:val="24"/>
                <w:szCs w:val="24"/>
              </w:rPr>
            </w:pPr>
            <w:r>
              <w:rPr>
                <w:rFonts w:ascii="Times New Roman" w:hAnsi="Times New Roman"/>
                <w:color w:val="auto"/>
                <w:sz w:val="24"/>
              </w:rPr>
              <w:t xml:space="preserve">Det fulla nominella värdet av betalningsåtaganden som avser </w:t>
            </w:r>
            <w:proofErr w:type="spellStart"/>
            <w:r>
              <w:rPr>
                <w:rFonts w:ascii="Times New Roman" w:hAnsi="Times New Roman"/>
                <w:color w:val="auto"/>
                <w:sz w:val="24"/>
              </w:rPr>
              <w:t>avistaköp</w:t>
            </w:r>
            <w:proofErr w:type="spellEnd"/>
            <w:r>
              <w:rPr>
                <w:rFonts w:ascii="Times New Roman" w:hAnsi="Times New Roman"/>
                <w:color w:val="auto"/>
                <w:sz w:val="24"/>
              </w:rPr>
              <w:t xml:space="preserve">, för institut som, i enlighet med de tillämpliga redovisningsreglerna, tillämpar likviddagsredovisning för </w:t>
            </w:r>
            <w:proofErr w:type="spellStart"/>
            <w:r>
              <w:rPr>
                <w:rFonts w:ascii="Times New Roman" w:hAnsi="Times New Roman"/>
                <w:color w:val="auto"/>
                <w:sz w:val="24"/>
              </w:rPr>
              <w:t>avistaköp</w:t>
            </w:r>
            <w:proofErr w:type="spellEnd"/>
            <w:r>
              <w:rPr>
                <w:rFonts w:ascii="Times New Roman" w:hAnsi="Times New Roman"/>
                <w:color w:val="auto"/>
                <w:sz w:val="24"/>
              </w:rPr>
              <w:t xml:space="preserve"> och </w:t>
            </w:r>
            <w:proofErr w:type="spellStart"/>
            <w:r>
              <w:rPr>
                <w:rFonts w:ascii="Times New Roman" w:hAnsi="Times New Roman"/>
                <w:color w:val="auto"/>
                <w:sz w:val="24"/>
              </w:rPr>
              <w:t>avistaförsäljningar</w:t>
            </w:r>
            <w:proofErr w:type="spellEnd"/>
            <w:r>
              <w:rPr>
                <w:rFonts w:ascii="Times New Roman" w:hAnsi="Times New Roman"/>
                <w:color w:val="auto"/>
                <w:sz w:val="24"/>
              </w:rPr>
              <w:t>.</w:t>
            </w:r>
          </w:p>
          <w:p w14:paraId="59B3EB10" w14:textId="3BF06932" w:rsidR="00CB48CC" w:rsidRPr="000B66BC" w:rsidRDefault="003718C7" w:rsidP="000B66BC">
            <w:pPr>
              <w:pStyle w:val="BodyText1"/>
              <w:spacing w:after="240"/>
              <w:rPr>
                <w:rFonts w:ascii="Times New Roman" w:hAnsi="Times New Roman"/>
                <w:b/>
                <w:bCs/>
                <w:color w:val="auto"/>
                <w:sz w:val="24"/>
                <w:szCs w:val="24"/>
              </w:rPr>
            </w:pPr>
            <w:r>
              <w:rPr>
                <w:rFonts w:ascii="Times New Roman" w:hAnsi="Times New Roman"/>
                <w:color w:val="auto"/>
                <w:sz w:val="24"/>
              </w:rPr>
              <w:t xml:space="preserve">Värdepapper kopplade till </w:t>
            </w:r>
            <w:proofErr w:type="spellStart"/>
            <w:r>
              <w:rPr>
                <w:rFonts w:ascii="Times New Roman" w:hAnsi="Times New Roman"/>
                <w:color w:val="auto"/>
                <w:sz w:val="24"/>
              </w:rPr>
              <w:t>avistaförsäljningar</w:t>
            </w:r>
            <w:proofErr w:type="spellEnd"/>
            <w:r>
              <w:rPr>
                <w:rFonts w:ascii="Times New Roman" w:hAnsi="Times New Roman"/>
                <w:color w:val="auto"/>
                <w:sz w:val="24"/>
              </w:rPr>
              <w:t xml:space="preserve"> ska rapporteras i rad 0190 ”Övriga tillgångar”.</w:t>
            </w:r>
          </w:p>
        </w:tc>
      </w:tr>
      <w:tr w:rsidR="00CB48CC" w:rsidRPr="00E75BB8" w14:paraId="061A339C" w14:textId="77777777" w:rsidTr="008979D2">
        <w:trPr>
          <w:trHeight w:val="304"/>
        </w:trPr>
        <w:tc>
          <w:tcPr>
            <w:tcW w:w="1555" w:type="dxa"/>
            <w:gridSpan w:val="2"/>
            <w:tcBorders>
              <w:bottom w:val="single" w:sz="4" w:space="0" w:color="auto"/>
            </w:tcBorders>
          </w:tcPr>
          <w:p w14:paraId="4E6F9470" w14:textId="411DE5F9" w:rsidR="00974BCC" w:rsidRPr="000B66BC" w:rsidRDefault="00974BCC" w:rsidP="000B66BC">
            <w:pPr>
              <w:pStyle w:val="BodyText1"/>
              <w:spacing w:after="240"/>
              <w:rPr>
                <w:rFonts w:ascii="Times New Roman" w:hAnsi="Times New Roman"/>
                <w:bCs/>
                <w:sz w:val="24"/>
                <w:szCs w:val="24"/>
              </w:rPr>
            </w:pPr>
            <w:r>
              <w:rPr>
                <w:rFonts w:ascii="Times New Roman" w:hAnsi="Times New Roman"/>
                <w:sz w:val="24"/>
              </w:rPr>
              <w:lastRenderedPageBreak/>
              <w:t>{0189;0010}</w:t>
            </w:r>
          </w:p>
          <w:p w14:paraId="299E6D9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DDE4E8F" w14:textId="1D6A15E3" w:rsidR="00974BCC" w:rsidRPr="000B66BC" w:rsidRDefault="00974B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w:t>
            </w:r>
            <w:proofErr w:type="spellStart"/>
            <w:r>
              <w:rPr>
                <w:rFonts w:ascii="Times New Roman" w:hAnsi="Times New Roman"/>
                <w:b/>
                <w:color w:val="auto"/>
                <w:sz w:val="24"/>
              </w:rPr>
              <w:t>Avistaköp</w:t>
            </w:r>
            <w:proofErr w:type="spellEnd"/>
            <w:r>
              <w:rPr>
                <w:rFonts w:ascii="Times New Roman" w:hAnsi="Times New Roman"/>
                <w:b/>
                <w:color w:val="auto"/>
                <w:sz w:val="24"/>
              </w:rPr>
              <w:t xml:space="preserve"> som väntar på avveckling: kvittning mot betalningsåtaganden enligt likviddagsredovisning i enlighet med artikel 429g.3 i CRR</w:t>
            </w:r>
          </w:p>
          <w:p w14:paraId="0155689A" w14:textId="09D66768" w:rsidR="0049459B" w:rsidRPr="000B66BC" w:rsidRDefault="0049459B" w:rsidP="000B66BC">
            <w:pPr>
              <w:pStyle w:val="BodyText1"/>
              <w:spacing w:after="240" w:line="240" w:lineRule="auto"/>
              <w:rPr>
                <w:rFonts w:ascii="Times New Roman" w:hAnsi="Times New Roman"/>
                <w:b/>
                <w:bCs/>
                <w:sz w:val="24"/>
                <w:szCs w:val="24"/>
              </w:rPr>
            </w:pPr>
            <w:r>
              <w:rPr>
                <w:rFonts w:ascii="Times New Roman" w:hAnsi="Times New Roman"/>
                <w:sz w:val="24"/>
              </w:rPr>
              <w:t>Artikel 429g.3 i förordning (EU) nr 575/2013</w:t>
            </w:r>
          </w:p>
          <w:p w14:paraId="795D29D1" w14:textId="0149AE44" w:rsidR="0049459B" w:rsidRPr="000B66BC" w:rsidRDefault="00DC3476" w:rsidP="000B66BC">
            <w:pPr>
              <w:pStyle w:val="BodyText1"/>
              <w:spacing w:after="240"/>
              <w:rPr>
                <w:rFonts w:ascii="Times New Roman" w:hAnsi="Times New Roman"/>
                <w:bCs/>
                <w:sz w:val="24"/>
                <w:szCs w:val="24"/>
              </w:rPr>
            </w:pPr>
            <w:r>
              <w:rPr>
                <w:rFonts w:ascii="Times New Roman" w:hAnsi="Times New Roman"/>
                <w:sz w:val="24"/>
              </w:rPr>
              <w:t xml:space="preserve">Den del av beloppet som rapporteras på rad 0188 och som kvittas mot hela det nominella värdet av kontantfordringar som avser </w:t>
            </w:r>
            <w:proofErr w:type="spellStart"/>
            <w:r>
              <w:rPr>
                <w:rFonts w:ascii="Times New Roman" w:hAnsi="Times New Roman"/>
                <w:sz w:val="24"/>
              </w:rPr>
              <w:t>avistaförsäljningar</w:t>
            </w:r>
            <w:proofErr w:type="spellEnd"/>
            <w:r>
              <w:rPr>
                <w:rFonts w:ascii="Times New Roman" w:hAnsi="Times New Roman"/>
                <w:sz w:val="24"/>
              </w:rPr>
              <w:t xml:space="preserve"> som väntar på avveckling i enlighet med artikel 429g.3 i förordning (EU) nr 575/2013.</w:t>
            </w:r>
          </w:p>
        </w:tc>
      </w:tr>
      <w:tr w:rsidR="00CB48CC" w:rsidRPr="00E75BB8" w14:paraId="7F056AC7" w14:textId="77777777" w:rsidTr="008979D2">
        <w:trPr>
          <w:trHeight w:val="304"/>
        </w:trPr>
        <w:tc>
          <w:tcPr>
            <w:tcW w:w="1555" w:type="dxa"/>
            <w:gridSpan w:val="2"/>
            <w:tcBorders>
              <w:bottom w:val="single" w:sz="4" w:space="0" w:color="auto"/>
            </w:tcBorders>
          </w:tcPr>
          <w:p w14:paraId="363AA4BD" w14:textId="49D24DA5"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{0190;0010}</w:t>
            </w:r>
          </w:p>
          <w:p w14:paraId="02CEC1ED"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0F25DB7"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xml:space="preserve">Övriga tillgångar </w:t>
            </w:r>
          </w:p>
          <w:p w14:paraId="6BF56BA7" w14:textId="02AF2400" w:rsidR="00CB48CC" w:rsidRPr="000B66BC" w:rsidRDefault="0097168A" w:rsidP="000B66BC">
            <w:pPr>
              <w:pStyle w:val="BodyText1"/>
              <w:spacing w:after="240" w:line="240" w:lineRule="auto"/>
              <w:rPr>
                <w:rFonts w:ascii="Times New Roman" w:hAnsi="Times New Roman"/>
                <w:bCs/>
                <w:sz w:val="24"/>
                <w:szCs w:val="24"/>
              </w:rPr>
            </w:pPr>
            <w:r>
              <w:rPr>
                <w:rFonts w:ascii="Times New Roman" w:hAnsi="Times New Roman"/>
                <w:sz w:val="24"/>
              </w:rPr>
              <w:t>Artikel 429.4a i förordning (EU) nr 575/2013</w:t>
            </w:r>
          </w:p>
          <w:p w14:paraId="412FDEE7" w14:textId="71A56B8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Alla andra tillgångar än derivatkontrakt som anges i bilaga II till förordning (EU) nr 575/2013, kreditderivat och transaktioner för värdepappersfinansiering (tillgångar som ska rapporteras i denna cell är därmed bland annat bokförda fordringar för variationsmarginalsäkerhet som erhållits i kontanter där sådana redovisats enligt gällande redovisningsregler, likvida tillgångar enligt definitionen för likviditetstäckning, fallerade och icke-avvecklade transaktioner). Institut ska basera värderingen på de principer som fastställs i artiklarna 429b.1 och 429.7 i förordning (EU) nr 575/2013.</w:t>
            </w:r>
          </w:p>
          <w:p w14:paraId="1C53A1E2" w14:textId="69743091" w:rsidR="00BA46B1"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 denna cell ska institut inkludera mottagna kontanter eller värdepapper som lämnas till en motpart genom transaktioner för värdepappersfinansiering och som tas med i balansräkningen (dvs. redovisningskraven för borttagning uppfylls inte). Institut ska dessutom redovisa poster som dras av från kärnprimärkapital och primärkapitaltillskott (</w:t>
            </w:r>
            <w:proofErr w:type="gramStart"/>
            <w:r>
              <w:rPr>
                <w:rFonts w:ascii="Times New Roman" w:hAnsi="Times New Roman"/>
                <w:sz w:val="24"/>
              </w:rPr>
              <w:t>t.ex.</w:t>
            </w:r>
            <w:proofErr w:type="gramEnd"/>
            <w:r>
              <w:rPr>
                <w:rFonts w:ascii="Times New Roman" w:hAnsi="Times New Roman"/>
                <w:sz w:val="24"/>
              </w:rPr>
              <w:t xml:space="preserve"> immateriella tillgångar och uppskjutna skattefordringar).</w:t>
            </w:r>
          </w:p>
          <w:p w14:paraId="0030E8E6" w14:textId="2978235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Det belopp som rapporteras i rad {0191;0010} ska inte beaktas som en minskning vid beräkningen av denna rad.</w:t>
            </w:r>
          </w:p>
          <w:p w14:paraId="52C58829" w14:textId="00F0E873" w:rsidR="00CB48CC" w:rsidRPr="000B66BC" w:rsidRDefault="00CB48CC" w:rsidP="000B66BC">
            <w:pPr>
              <w:pStyle w:val="BodyText1"/>
              <w:spacing w:after="240"/>
              <w:rPr>
                <w:rFonts w:ascii="Times New Roman" w:hAnsi="Times New Roman"/>
                <w:bCs/>
                <w:sz w:val="24"/>
                <w:szCs w:val="24"/>
                <w:u w:val="single"/>
              </w:rPr>
            </w:pPr>
            <w:proofErr w:type="spellStart"/>
            <w:r>
              <w:rPr>
                <w:rFonts w:ascii="Times New Roman" w:hAnsi="Times New Roman"/>
                <w:sz w:val="24"/>
              </w:rPr>
              <w:t>Poolningssystem</w:t>
            </w:r>
            <w:proofErr w:type="spellEnd"/>
            <w:r>
              <w:rPr>
                <w:rFonts w:ascii="Times New Roman" w:hAnsi="Times New Roman"/>
                <w:sz w:val="24"/>
              </w:rPr>
              <w:t xml:space="preserve"> för kontanta medel ska rapporteras på raderna {0193;0010}, {0194;0010}, {0195;0010}, {0196;0010}, {0197;0010} och {0198;0010} och inte här.</w:t>
            </w:r>
          </w:p>
        </w:tc>
      </w:tr>
      <w:tr w:rsidR="00CB48CC" w:rsidRPr="00E75BB8" w14:paraId="5EC00608" w14:textId="77777777" w:rsidTr="008979D2">
        <w:trPr>
          <w:trHeight w:val="304"/>
        </w:trPr>
        <w:tc>
          <w:tcPr>
            <w:tcW w:w="1555" w:type="dxa"/>
            <w:gridSpan w:val="2"/>
            <w:tcBorders>
              <w:bottom w:val="single" w:sz="4" w:space="0" w:color="auto"/>
            </w:tcBorders>
          </w:tcPr>
          <w:p w14:paraId="0DDE44FD" w14:textId="34148683"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{0191;0010}</w:t>
            </w:r>
          </w:p>
          <w:p w14:paraId="23095895"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8980839"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Allmänna kreditriskjusteringar av poster i balansräkningen </w:t>
            </w:r>
          </w:p>
          <w:p w14:paraId="1CDF58F3" w14:textId="721A5106"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Artikel 429.4 i förordning (EU) nr 575/2013</w:t>
            </w:r>
          </w:p>
          <w:p w14:paraId="7E1379BD" w14:textId="271041A2"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sz w:val="24"/>
              </w:rPr>
              <w:t>Beloppet för allmänna kreditriskjusteringar som motsvarar poster i balansräkningen enligt artikel 429.4 a i förordning (EU) nr 575/2013, som instituten drar av i enlighet med artikel 429.4 sista stycket i förordning (EU) nr 575/2013.</w:t>
            </w:r>
          </w:p>
          <w:p w14:paraId="58EB87A7" w14:textId="35B2ADBB"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Det belopp som rapporteras ska inte beaktas som en minskning vid beräkningen av övriga tillgångar som rapporteras i {0190;0010}.</w:t>
            </w:r>
          </w:p>
        </w:tc>
      </w:tr>
      <w:tr w:rsidR="006E0322" w:rsidRPr="00E75BB8" w14:paraId="2DB04EEA" w14:textId="77777777" w:rsidTr="008979D2">
        <w:trPr>
          <w:trHeight w:val="304"/>
        </w:trPr>
        <w:tc>
          <w:tcPr>
            <w:tcW w:w="1555" w:type="dxa"/>
            <w:gridSpan w:val="2"/>
            <w:tcBorders>
              <w:bottom w:val="single" w:sz="4" w:space="0" w:color="auto"/>
            </w:tcBorders>
          </w:tcPr>
          <w:p w14:paraId="07B43E1F" w14:textId="12AF740D" w:rsidR="006E0322" w:rsidRPr="000B66BC" w:rsidRDefault="006E0322" w:rsidP="000B66BC">
            <w:pPr>
              <w:pStyle w:val="BodyText1"/>
              <w:spacing w:after="240"/>
              <w:rPr>
                <w:rFonts w:ascii="Times New Roman" w:hAnsi="Times New Roman"/>
                <w:bCs/>
                <w:sz w:val="24"/>
                <w:szCs w:val="24"/>
              </w:rPr>
            </w:pPr>
            <w:r>
              <w:rPr>
                <w:rFonts w:ascii="Times New Roman" w:hAnsi="Times New Roman"/>
                <w:sz w:val="24"/>
              </w:rPr>
              <w:t>{0193;0010}</w:t>
            </w:r>
          </w:p>
          <w:p w14:paraId="28BFDD3E" w14:textId="77777777" w:rsidR="006E0322" w:rsidRPr="000B66BC" w:rsidRDefault="006E0322"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3974CEB" w14:textId="77777777" w:rsidR="00103B23" w:rsidRPr="000B66BC" w:rsidRDefault="00103B23" w:rsidP="000B66BC">
            <w:pPr>
              <w:pStyle w:val="BodyText1"/>
              <w:spacing w:after="240" w:line="240" w:lineRule="auto"/>
              <w:rPr>
                <w:rFonts w:ascii="Times New Roman" w:hAnsi="Times New Roman"/>
                <w:b/>
                <w:color w:val="auto"/>
                <w:sz w:val="24"/>
                <w:szCs w:val="24"/>
              </w:rPr>
            </w:pPr>
            <w:proofErr w:type="spellStart"/>
            <w:r>
              <w:rPr>
                <w:rFonts w:ascii="Times New Roman" w:hAnsi="Times New Roman"/>
                <w:b/>
                <w:color w:val="auto"/>
                <w:sz w:val="24"/>
              </w:rPr>
              <w:t>Poolningssystem</w:t>
            </w:r>
            <w:proofErr w:type="spellEnd"/>
            <w:r>
              <w:rPr>
                <w:rFonts w:ascii="Times New Roman" w:hAnsi="Times New Roman"/>
                <w:b/>
                <w:color w:val="auto"/>
                <w:sz w:val="24"/>
              </w:rPr>
              <w:t xml:space="preserve"> för kontanta medel som inte kan </w:t>
            </w:r>
            <w:proofErr w:type="spellStart"/>
            <w:r>
              <w:rPr>
                <w:rFonts w:ascii="Times New Roman" w:hAnsi="Times New Roman"/>
                <w:b/>
                <w:color w:val="auto"/>
                <w:sz w:val="24"/>
              </w:rPr>
              <w:t>nettas</w:t>
            </w:r>
            <w:proofErr w:type="spellEnd"/>
            <w:r>
              <w:rPr>
                <w:rFonts w:ascii="Times New Roman" w:hAnsi="Times New Roman"/>
                <w:b/>
                <w:color w:val="auto"/>
                <w:sz w:val="24"/>
              </w:rPr>
              <w:t xml:space="preserve"> i enlighet med tillsynskrav: värde i redovisningsreglerna</w:t>
            </w:r>
          </w:p>
          <w:p w14:paraId="01265E9F" w14:textId="22BFBC85" w:rsidR="00103B23"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sz w:val="24"/>
              </w:rPr>
              <w:t>Artikel 429b.2 och 429b.3 i förordning (EU) nr 575/2013</w:t>
            </w:r>
          </w:p>
          <w:p w14:paraId="421B559D" w14:textId="30B00F23" w:rsidR="006E0322"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sz w:val="24"/>
              </w:rPr>
              <w:t xml:space="preserve">Det bokförda värdet av </w:t>
            </w:r>
            <w:proofErr w:type="spellStart"/>
            <w:r>
              <w:rPr>
                <w:rFonts w:ascii="Times New Roman" w:hAnsi="Times New Roman"/>
                <w:sz w:val="24"/>
              </w:rPr>
              <w:t>poolningssystem</w:t>
            </w:r>
            <w:proofErr w:type="spellEnd"/>
            <w:r>
              <w:rPr>
                <w:rFonts w:ascii="Times New Roman" w:hAnsi="Times New Roman"/>
                <w:sz w:val="24"/>
              </w:rPr>
              <w:t xml:space="preserve"> för kontanta medel, dvs. system genom vilket kredit- och debetsaldona för ett antal enskilda konton sammanförs för att underlätta betalningshantering eller likviditetsförvaltning, som inte kan </w:t>
            </w:r>
            <w:proofErr w:type="spellStart"/>
            <w:r>
              <w:rPr>
                <w:rFonts w:ascii="Times New Roman" w:hAnsi="Times New Roman"/>
                <w:sz w:val="24"/>
              </w:rPr>
              <w:t>nettas</w:t>
            </w:r>
            <w:proofErr w:type="spellEnd"/>
            <w:r>
              <w:rPr>
                <w:rFonts w:ascii="Times New Roman" w:hAnsi="Times New Roman"/>
                <w:sz w:val="24"/>
              </w:rPr>
              <w:t xml:space="preserve"> i enlighet med artikel 429b.2 och 429b.3 i förordning (EU) nr 575/2013.</w:t>
            </w:r>
          </w:p>
        </w:tc>
      </w:tr>
      <w:tr w:rsidR="00CB48CC" w:rsidRPr="00E75BB8" w14:paraId="26F15125" w14:textId="77777777" w:rsidTr="008979D2">
        <w:trPr>
          <w:trHeight w:val="304"/>
        </w:trPr>
        <w:tc>
          <w:tcPr>
            <w:tcW w:w="1555" w:type="dxa"/>
            <w:gridSpan w:val="2"/>
            <w:tcBorders>
              <w:bottom w:val="single" w:sz="4" w:space="0" w:color="auto"/>
            </w:tcBorders>
          </w:tcPr>
          <w:p w14:paraId="5FD0298B" w14:textId="2215C91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{0194;0010}</w:t>
            </w:r>
          </w:p>
          <w:p w14:paraId="4FD69EB9"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7940841" w14:textId="77777777" w:rsidR="00103B23" w:rsidRPr="000B66BC" w:rsidRDefault="00CB48CC" w:rsidP="000B66BC">
            <w:pPr>
              <w:pStyle w:val="BodyText1"/>
              <w:spacing w:after="240" w:line="240" w:lineRule="auto"/>
              <w:rPr>
                <w:rFonts w:ascii="Times New Roman" w:hAnsi="Times New Roman"/>
                <w:b/>
                <w:color w:val="auto"/>
                <w:sz w:val="24"/>
                <w:szCs w:val="24"/>
              </w:rPr>
            </w:pPr>
            <w:proofErr w:type="spellStart"/>
            <w:r>
              <w:rPr>
                <w:rFonts w:ascii="Times New Roman" w:hAnsi="Times New Roman"/>
                <w:b/>
                <w:color w:val="auto"/>
                <w:sz w:val="24"/>
              </w:rPr>
              <w:t>Poolningssystem</w:t>
            </w:r>
            <w:proofErr w:type="spellEnd"/>
            <w:r>
              <w:rPr>
                <w:rFonts w:ascii="Times New Roman" w:hAnsi="Times New Roman"/>
                <w:b/>
                <w:color w:val="auto"/>
                <w:sz w:val="24"/>
              </w:rPr>
              <w:t xml:space="preserve"> för kontanta medel som inte kan </w:t>
            </w:r>
            <w:proofErr w:type="spellStart"/>
            <w:r>
              <w:rPr>
                <w:rFonts w:ascii="Times New Roman" w:hAnsi="Times New Roman"/>
                <w:b/>
                <w:color w:val="auto"/>
                <w:sz w:val="24"/>
              </w:rPr>
              <w:t>nettas</w:t>
            </w:r>
            <w:proofErr w:type="spellEnd"/>
            <w:r>
              <w:rPr>
                <w:rFonts w:ascii="Times New Roman" w:hAnsi="Times New Roman"/>
                <w:b/>
                <w:color w:val="auto"/>
                <w:sz w:val="24"/>
              </w:rPr>
              <w:t xml:space="preserve"> i enlighet med tillsynskrav: effekten av en bruttovärdeökning för den nettning som tillämpas i redovisningsreglerna</w:t>
            </w:r>
          </w:p>
          <w:p w14:paraId="390CF1DE" w14:textId="6D417CDE"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Artikel 429.7 b och 429b.2 och 429b.3 i förordning (EU) nr 575/2013</w:t>
            </w:r>
          </w:p>
          <w:p w14:paraId="7AC9B352" w14:textId="40BB7FB2" w:rsidR="00CB48CC" w:rsidRPr="000B66BC" w:rsidRDefault="00103B23"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 xml:space="preserve">Det belopp som </w:t>
            </w:r>
            <w:proofErr w:type="spellStart"/>
            <w:r>
              <w:rPr>
                <w:rFonts w:ascii="Times New Roman" w:hAnsi="Times New Roman"/>
                <w:color w:val="auto"/>
                <w:sz w:val="24"/>
              </w:rPr>
              <w:t>nettas</w:t>
            </w:r>
            <w:proofErr w:type="spellEnd"/>
            <w:r>
              <w:rPr>
                <w:rFonts w:ascii="Times New Roman" w:hAnsi="Times New Roman"/>
                <w:color w:val="auto"/>
                <w:sz w:val="24"/>
              </w:rPr>
              <w:t xml:space="preserve"> enligt de tillämpliga redovisningsreglerna för </w:t>
            </w:r>
            <w:proofErr w:type="spellStart"/>
            <w:r>
              <w:rPr>
                <w:rFonts w:ascii="Times New Roman" w:hAnsi="Times New Roman"/>
                <w:color w:val="auto"/>
                <w:sz w:val="24"/>
              </w:rPr>
              <w:t>poolningssystem</w:t>
            </w:r>
            <w:proofErr w:type="spellEnd"/>
            <w:r>
              <w:rPr>
                <w:rFonts w:ascii="Times New Roman" w:hAnsi="Times New Roman"/>
                <w:color w:val="auto"/>
                <w:sz w:val="24"/>
              </w:rPr>
              <w:t xml:space="preserve"> för kontanta medel som inte kan </w:t>
            </w:r>
            <w:proofErr w:type="spellStart"/>
            <w:r>
              <w:rPr>
                <w:rFonts w:ascii="Times New Roman" w:hAnsi="Times New Roman"/>
                <w:color w:val="auto"/>
                <w:sz w:val="24"/>
              </w:rPr>
              <w:t>nettas</w:t>
            </w:r>
            <w:proofErr w:type="spellEnd"/>
            <w:r>
              <w:rPr>
                <w:rFonts w:ascii="Times New Roman" w:hAnsi="Times New Roman"/>
                <w:color w:val="auto"/>
                <w:sz w:val="24"/>
              </w:rPr>
              <w:t xml:space="preserve"> i enlighet med tillsynskrav som rapporteras i {0193;0010}.</w:t>
            </w:r>
          </w:p>
        </w:tc>
      </w:tr>
      <w:tr w:rsidR="00CB48CC" w:rsidRPr="00E75BB8" w14:paraId="751549C0" w14:textId="77777777" w:rsidTr="008979D2">
        <w:trPr>
          <w:trHeight w:val="304"/>
        </w:trPr>
        <w:tc>
          <w:tcPr>
            <w:tcW w:w="1555" w:type="dxa"/>
            <w:gridSpan w:val="2"/>
            <w:tcBorders>
              <w:bottom w:val="single" w:sz="4" w:space="0" w:color="auto"/>
            </w:tcBorders>
          </w:tcPr>
          <w:p w14:paraId="12C2B1C4" w14:textId="60D4BAFE" w:rsidR="00974BCC" w:rsidRPr="000B66BC" w:rsidRDefault="00974BCC" w:rsidP="000B66BC">
            <w:pPr>
              <w:pStyle w:val="BodyText1"/>
              <w:spacing w:after="240"/>
              <w:rPr>
                <w:rFonts w:ascii="Times New Roman" w:hAnsi="Times New Roman"/>
                <w:bCs/>
                <w:sz w:val="24"/>
                <w:szCs w:val="24"/>
              </w:rPr>
            </w:pPr>
            <w:r>
              <w:rPr>
                <w:rFonts w:ascii="Times New Roman" w:hAnsi="Times New Roman"/>
                <w:sz w:val="24"/>
              </w:rPr>
              <w:t>{0195;0010}</w:t>
            </w:r>
          </w:p>
          <w:p w14:paraId="522A5DF4"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E634ADC" w14:textId="77777777" w:rsidR="00CB48CC" w:rsidRPr="000B66BC" w:rsidRDefault="00CB48CC" w:rsidP="000B66BC">
            <w:pPr>
              <w:pStyle w:val="BodyText1"/>
              <w:spacing w:after="240" w:line="240" w:lineRule="auto"/>
              <w:rPr>
                <w:rFonts w:ascii="Times New Roman" w:hAnsi="Times New Roman"/>
                <w:b/>
                <w:color w:val="auto"/>
                <w:sz w:val="24"/>
                <w:szCs w:val="24"/>
              </w:rPr>
            </w:pPr>
            <w:proofErr w:type="spellStart"/>
            <w:r>
              <w:rPr>
                <w:rFonts w:ascii="Times New Roman" w:hAnsi="Times New Roman"/>
                <w:b/>
                <w:color w:val="auto"/>
                <w:sz w:val="24"/>
              </w:rPr>
              <w:t>Poolningssystem</w:t>
            </w:r>
            <w:proofErr w:type="spellEnd"/>
            <w:r>
              <w:rPr>
                <w:rFonts w:ascii="Times New Roman" w:hAnsi="Times New Roman"/>
                <w:b/>
                <w:color w:val="auto"/>
                <w:sz w:val="24"/>
              </w:rPr>
              <w:t xml:space="preserve"> för kontanta medel som kan </w:t>
            </w:r>
            <w:proofErr w:type="spellStart"/>
            <w:r>
              <w:rPr>
                <w:rFonts w:ascii="Times New Roman" w:hAnsi="Times New Roman"/>
                <w:b/>
                <w:color w:val="auto"/>
                <w:sz w:val="24"/>
              </w:rPr>
              <w:t>nettas</w:t>
            </w:r>
            <w:proofErr w:type="spellEnd"/>
            <w:r>
              <w:rPr>
                <w:rFonts w:ascii="Times New Roman" w:hAnsi="Times New Roman"/>
                <w:b/>
                <w:color w:val="auto"/>
                <w:sz w:val="24"/>
              </w:rPr>
              <w:t xml:space="preserve"> i enlighet med tillsynskrav: värde i redovisningsreglerna</w:t>
            </w:r>
          </w:p>
          <w:p w14:paraId="444FD556" w14:textId="0460319C" w:rsidR="00CB48CC" w:rsidRPr="000B66BC" w:rsidRDefault="0073197F" w:rsidP="000B66BC">
            <w:pPr>
              <w:pStyle w:val="BodyText1"/>
              <w:spacing w:after="240" w:line="240" w:lineRule="auto"/>
              <w:rPr>
                <w:rFonts w:ascii="Times New Roman" w:hAnsi="Times New Roman"/>
                <w:color w:val="auto"/>
                <w:sz w:val="24"/>
                <w:szCs w:val="24"/>
              </w:rPr>
            </w:pPr>
            <w:r>
              <w:rPr>
                <w:rFonts w:ascii="Times New Roman" w:hAnsi="Times New Roman"/>
                <w:sz w:val="24"/>
              </w:rPr>
              <w:t>Artikel 429b.2 och 429b.3 i förordning (EU) nr 575/2013</w:t>
            </w:r>
          </w:p>
          <w:p w14:paraId="5FF92BE1" w14:textId="795BE2F1"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sz w:val="24"/>
              </w:rPr>
              <w:t xml:space="preserve">Det bokförda värdet av </w:t>
            </w:r>
            <w:proofErr w:type="spellStart"/>
            <w:r>
              <w:rPr>
                <w:rFonts w:ascii="Times New Roman" w:hAnsi="Times New Roman"/>
                <w:sz w:val="24"/>
              </w:rPr>
              <w:t>poolningssystem</w:t>
            </w:r>
            <w:proofErr w:type="spellEnd"/>
            <w:r>
              <w:rPr>
                <w:rFonts w:ascii="Times New Roman" w:hAnsi="Times New Roman"/>
                <w:sz w:val="24"/>
              </w:rPr>
              <w:t xml:space="preserve"> för kontanta medel, dvs. system genom vilket kredit- och debetsaldona för ett antal enskilda konton sammanförs för att underlätta betalningshantering eller likviditetsförvaltning, som kan </w:t>
            </w:r>
            <w:proofErr w:type="spellStart"/>
            <w:r>
              <w:rPr>
                <w:rFonts w:ascii="Times New Roman" w:hAnsi="Times New Roman"/>
                <w:sz w:val="24"/>
              </w:rPr>
              <w:t>nettas</w:t>
            </w:r>
            <w:proofErr w:type="spellEnd"/>
            <w:r>
              <w:rPr>
                <w:rFonts w:ascii="Times New Roman" w:hAnsi="Times New Roman"/>
                <w:sz w:val="24"/>
              </w:rPr>
              <w:t xml:space="preserve"> i enlighet med artikel 429b.2 och 429b.3 i förordning (EU) nr 575/2013.</w:t>
            </w:r>
          </w:p>
        </w:tc>
      </w:tr>
      <w:tr w:rsidR="00CB48CC" w:rsidRPr="00E75BB8" w14:paraId="0FD5A27F" w14:textId="77777777" w:rsidTr="008979D2">
        <w:trPr>
          <w:trHeight w:val="304"/>
        </w:trPr>
        <w:tc>
          <w:tcPr>
            <w:tcW w:w="1555" w:type="dxa"/>
            <w:gridSpan w:val="2"/>
            <w:tcBorders>
              <w:bottom w:val="single" w:sz="4" w:space="0" w:color="auto"/>
            </w:tcBorders>
          </w:tcPr>
          <w:p w14:paraId="4CBB43FC" w14:textId="18B8DCAA"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{0196;0010}</w:t>
            </w:r>
          </w:p>
          <w:p w14:paraId="472BF07D"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BB5D25C" w14:textId="77777777" w:rsidR="00CB48CC" w:rsidRPr="000B66BC" w:rsidRDefault="00CB48CC" w:rsidP="000B66BC">
            <w:pPr>
              <w:pStyle w:val="BodyText1"/>
              <w:spacing w:after="240" w:line="240" w:lineRule="auto"/>
              <w:rPr>
                <w:rFonts w:ascii="Times New Roman" w:hAnsi="Times New Roman"/>
                <w:b/>
                <w:color w:val="auto"/>
                <w:sz w:val="24"/>
                <w:szCs w:val="24"/>
              </w:rPr>
            </w:pPr>
            <w:proofErr w:type="spellStart"/>
            <w:r>
              <w:rPr>
                <w:rFonts w:ascii="Times New Roman" w:hAnsi="Times New Roman"/>
                <w:b/>
                <w:color w:val="auto"/>
                <w:sz w:val="24"/>
              </w:rPr>
              <w:t>Poolningssystem</w:t>
            </w:r>
            <w:proofErr w:type="spellEnd"/>
            <w:r>
              <w:rPr>
                <w:rFonts w:ascii="Times New Roman" w:hAnsi="Times New Roman"/>
                <w:b/>
                <w:color w:val="auto"/>
                <w:sz w:val="24"/>
              </w:rPr>
              <w:t xml:space="preserve"> för kontanta medel som kan </w:t>
            </w:r>
            <w:proofErr w:type="spellStart"/>
            <w:r>
              <w:rPr>
                <w:rFonts w:ascii="Times New Roman" w:hAnsi="Times New Roman"/>
                <w:b/>
                <w:color w:val="auto"/>
                <w:sz w:val="24"/>
              </w:rPr>
              <w:t>nettas</w:t>
            </w:r>
            <w:proofErr w:type="spellEnd"/>
            <w:r>
              <w:rPr>
                <w:rFonts w:ascii="Times New Roman" w:hAnsi="Times New Roman"/>
                <w:b/>
                <w:color w:val="auto"/>
                <w:sz w:val="24"/>
              </w:rPr>
              <w:t xml:space="preserve"> i enlighet med tillsynskrav: effekten av en bruttovärdeökning för den nettning som tillämpas i redovisningsreglerna</w:t>
            </w:r>
          </w:p>
          <w:p w14:paraId="770F0F10" w14:textId="551E3D5F" w:rsidR="00CB48CC"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sz w:val="24"/>
              </w:rPr>
              <w:t>Artikel 429b.2 och 429b.3 i förordning (EU) nr 575/2013</w:t>
            </w:r>
          </w:p>
          <w:p w14:paraId="4F594E25" w14:textId="2FF29B12" w:rsidR="00864866" w:rsidRPr="000B66BC" w:rsidRDefault="00CB48CC" w:rsidP="000B66BC">
            <w:pPr>
              <w:pStyle w:val="BodyText1"/>
              <w:spacing w:after="240"/>
              <w:rPr>
                <w:rFonts w:ascii="Times New Roman" w:hAnsi="Times New Roman"/>
                <w:color w:val="auto"/>
                <w:sz w:val="24"/>
                <w:szCs w:val="24"/>
              </w:rPr>
            </w:pPr>
            <w:r>
              <w:rPr>
                <w:rFonts w:ascii="Times New Roman" w:hAnsi="Times New Roman"/>
                <w:color w:val="auto"/>
                <w:sz w:val="24"/>
              </w:rPr>
              <w:lastRenderedPageBreak/>
              <w:t xml:space="preserve">Det belopp som </w:t>
            </w:r>
            <w:proofErr w:type="spellStart"/>
            <w:r>
              <w:rPr>
                <w:rFonts w:ascii="Times New Roman" w:hAnsi="Times New Roman"/>
                <w:color w:val="auto"/>
                <w:sz w:val="24"/>
              </w:rPr>
              <w:t>nettas</w:t>
            </w:r>
            <w:proofErr w:type="spellEnd"/>
            <w:r>
              <w:rPr>
                <w:rFonts w:ascii="Times New Roman" w:hAnsi="Times New Roman"/>
                <w:color w:val="auto"/>
                <w:sz w:val="24"/>
              </w:rPr>
              <w:t xml:space="preserve"> enligt de tillämpliga redovisningsreglerna för </w:t>
            </w:r>
            <w:proofErr w:type="spellStart"/>
            <w:r>
              <w:rPr>
                <w:rFonts w:ascii="Times New Roman" w:hAnsi="Times New Roman"/>
                <w:color w:val="auto"/>
                <w:sz w:val="24"/>
              </w:rPr>
              <w:t>poolningssystem</w:t>
            </w:r>
            <w:proofErr w:type="spellEnd"/>
            <w:r>
              <w:rPr>
                <w:rFonts w:ascii="Times New Roman" w:hAnsi="Times New Roman"/>
                <w:color w:val="auto"/>
                <w:sz w:val="24"/>
              </w:rPr>
              <w:t xml:space="preserve"> för kontanta medel som kan </w:t>
            </w:r>
            <w:proofErr w:type="spellStart"/>
            <w:r>
              <w:rPr>
                <w:rFonts w:ascii="Times New Roman" w:hAnsi="Times New Roman"/>
                <w:color w:val="auto"/>
                <w:sz w:val="24"/>
              </w:rPr>
              <w:t>nettas</w:t>
            </w:r>
            <w:proofErr w:type="spellEnd"/>
            <w:r>
              <w:rPr>
                <w:rFonts w:ascii="Times New Roman" w:hAnsi="Times New Roman"/>
                <w:color w:val="auto"/>
                <w:sz w:val="24"/>
              </w:rPr>
              <w:t xml:space="preserve"> i enlighet med tillsynskrav som rapporteras i {0195;0010}.</w:t>
            </w:r>
          </w:p>
          <w:p w14:paraId="14E77DE6" w14:textId="4279D111" w:rsidR="00CB48CC" w:rsidRPr="000B66BC" w:rsidRDefault="00166A6F" w:rsidP="000B66BC">
            <w:pPr>
              <w:pStyle w:val="BodyText1"/>
              <w:spacing w:after="240"/>
              <w:rPr>
                <w:rFonts w:ascii="Times New Roman" w:hAnsi="Times New Roman"/>
                <w:color w:val="auto"/>
                <w:sz w:val="24"/>
                <w:szCs w:val="24"/>
              </w:rPr>
            </w:pPr>
            <w:r>
              <w:rPr>
                <w:rFonts w:ascii="Times New Roman" w:hAnsi="Times New Roman"/>
                <w:color w:val="auto"/>
                <w:sz w:val="24"/>
              </w:rPr>
              <w:t>Om institutet uppfyller kraven i artikel 429b.2 b ska det inte tillämpa bruttovärdeökningen i denna rad på tillgodohavanden som utsläcks på grundval av den process som anges i artikel 429b.2 a.</w:t>
            </w:r>
          </w:p>
        </w:tc>
      </w:tr>
      <w:tr w:rsidR="00CB48CC" w:rsidRPr="00E75BB8" w14:paraId="6C598455" w14:textId="77777777" w:rsidTr="008979D2">
        <w:trPr>
          <w:trHeight w:val="304"/>
        </w:trPr>
        <w:tc>
          <w:tcPr>
            <w:tcW w:w="1555" w:type="dxa"/>
            <w:gridSpan w:val="2"/>
            <w:tcBorders>
              <w:bottom w:val="single" w:sz="4" w:space="0" w:color="auto"/>
            </w:tcBorders>
          </w:tcPr>
          <w:p w14:paraId="11C78F9F" w14:textId="649683AF"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{0197;0010}</w:t>
            </w:r>
          </w:p>
          <w:p w14:paraId="2FDD840E"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01FD6E4" w14:textId="2EE44330"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w:t>
            </w:r>
            <w:proofErr w:type="spellStart"/>
            <w:r>
              <w:rPr>
                <w:rFonts w:ascii="Times New Roman" w:hAnsi="Times New Roman"/>
                <w:b/>
                <w:color w:val="auto"/>
                <w:sz w:val="24"/>
              </w:rPr>
              <w:t>Poolningssystem</w:t>
            </w:r>
            <w:proofErr w:type="spellEnd"/>
            <w:r>
              <w:rPr>
                <w:rFonts w:ascii="Times New Roman" w:hAnsi="Times New Roman"/>
                <w:b/>
                <w:color w:val="auto"/>
                <w:sz w:val="24"/>
              </w:rPr>
              <w:t xml:space="preserve"> för kontanta medel som kan </w:t>
            </w:r>
            <w:proofErr w:type="spellStart"/>
            <w:r>
              <w:rPr>
                <w:rFonts w:ascii="Times New Roman" w:hAnsi="Times New Roman"/>
                <w:b/>
                <w:color w:val="auto"/>
                <w:sz w:val="24"/>
              </w:rPr>
              <w:t>nettas</w:t>
            </w:r>
            <w:proofErr w:type="spellEnd"/>
            <w:r>
              <w:rPr>
                <w:rFonts w:ascii="Times New Roman" w:hAnsi="Times New Roman"/>
                <w:b/>
                <w:color w:val="auto"/>
                <w:sz w:val="24"/>
              </w:rPr>
              <w:t xml:space="preserve"> i enlighet med tillsynskrav: Redovisning av nettning i enlighet med artikel 429b.2 i CRR</w:t>
            </w:r>
          </w:p>
          <w:p w14:paraId="52C1DAD6" w14:textId="04254F3D"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sz w:val="24"/>
              </w:rPr>
              <w:t>Artikel 429b.2 i förordning (EU) nr 575/2013</w:t>
            </w:r>
          </w:p>
          <w:p w14:paraId="6514DC6F" w14:textId="4B1A16D6"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 xml:space="preserve">Det belopp som </w:t>
            </w:r>
            <w:proofErr w:type="spellStart"/>
            <w:r>
              <w:rPr>
                <w:rFonts w:ascii="Times New Roman" w:hAnsi="Times New Roman"/>
                <w:color w:val="auto"/>
                <w:sz w:val="24"/>
              </w:rPr>
              <w:t>nettas</w:t>
            </w:r>
            <w:proofErr w:type="spellEnd"/>
            <w:r>
              <w:rPr>
                <w:rFonts w:ascii="Times New Roman" w:hAnsi="Times New Roman"/>
                <w:color w:val="auto"/>
                <w:sz w:val="24"/>
              </w:rPr>
              <w:t xml:space="preserve"> från bruttoexponeringen i samband med </w:t>
            </w:r>
            <w:proofErr w:type="spellStart"/>
            <w:r>
              <w:rPr>
                <w:rFonts w:ascii="Times New Roman" w:hAnsi="Times New Roman"/>
                <w:color w:val="auto"/>
                <w:sz w:val="24"/>
              </w:rPr>
              <w:t>poolningssystem</w:t>
            </w:r>
            <w:proofErr w:type="spellEnd"/>
            <w:r>
              <w:rPr>
                <w:rFonts w:ascii="Times New Roman" w:hAnsi="Times New Roman"/>
                <w:color w:val="auto"/>
                <w:sz w:val="24"/>
              </w:rPr>
              <w:t xml:space="preserve"> för kontanta medel (summan av raderna 0195 och 0196) i enlighet med artikel 429b.2.</w:t>
            </w:r>
          </w:p>
        </w:tc>
      </w:tr>
      <w:tr w:rsidR="00CB48CC" w:rsidRPr="00E75BB8" w14:paraId="6681A527" w14:textId="77777777" w:rsidTr="008979D2">
        <w:trPr>
          <w:trHeight w:val="304"/>
        </w:trPr>
        <w:tc>
          <w:tcPr>
            <w:tcW w:w="1555" w:type="dxa"/>
            <w:gridSpan w:val="2"/>
            <w:tcBorders>
              <w:bottom w:val="single" w:sz="4" w:space="0" w:color="auto"/>
            </w:tcBorders>
          </w:tcPr>
          <w:p w14:paraId="4136B44E" w14:textId="263B95A4"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{0198;0010}</w:t>
            </w:r>
          </w:p>
          <w:p w14:paraId="6AAFDEE3"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806A066" w14:textId="6CD24279"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w:t>
            </w:r>
            <w:proofErr w:type="spellStart"/>
            <w:r>
              <w:rPr>
                <w:rFonts w:ascii="Times New Roman" w:hAnsi="Times New Roman"/>
                <w:b/>
                <w:color w:val="auto"/>
                <w:sz w:val="24"/>
              </w:rPr>
              <w:t>Poolningssystem</w:t>
            </w:r>
            <w:proofErr w:type="spellEnd"/>
            <w:r>
              <w:rPr>
                <w:rFonts w:ascii="Times New Roman" w:hAnsi="Times New Roman"/>
                <w:b/>
                <w:color w:val="auto"/>
                <w:sz w:val="24"/>
              </w:rPr>
              <w:t xml:space="preserve"> för kontanta medel som kan </w:t>
            </w:r>
            <w:proofErr w:type="spellStart"/>
            <w:r>
              <w:rPr>
                <w:rFonts w:ascii="Times New Roman" w:hAnsi="Times New Roman"/>
                <w:b/>
                <w:color w:val="auto"/>
                <w:sz w:val="24"/>
              </w:rPr>
              <w:t>nettas</w:t>
            </w:r>
            <w:proofErr w:type="spellEnd"/>
            <w:r>
              <w:rPr>
                <w:rFonts w:ascii="Times New Roman" w:hAnsi="Times New Roman"/>
                <w:b/>
                <w:color w:val="auto"/>
                <w:sz w:val="24"/>
              </w:rPr>
              <w:t xml:space="preserve"> i enlighet med tillsynskrav: Redovisning av nettning i enlighet med artikel 429b.3 i CRR</w:t>
            </w:r>
          </w:p>
          <w:p w14:paraId="10AA0B56" w14:textId="265D95F4"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sz w:val="24"/>
              </w:rPr>
              <w:t xml:space="preserve">Artikel 429b.3 i förordning (EU) nr 575/2013 </w:t>
            </w:r>
            <w:r>
              <w:rPr>
                <w:rFonts w:ascii="Times New Roman" w:hAnsi="Times New Roman"/>
                <w:color w:val="auto"/>
                <w:sz w:val="24"/>
              </w:rPr>
              <w:t xml:space="preserve">Det belopp som </w:t>
            </w:r>
            <w:proofErr w:type="spellStart"/>
            <w:r>
              <w:rPr>
                <w:rFonts w:ascii="Times New Roman" w:hAnsi="Times New Roman"/>
                <w:color w:val="auto"/>
                <w:sz w:val="24"/>
              </w:rPr>
              <w:t>nettas</w:t>
            </w:r>
            <w:proofErr w:type="spellEnd"/>
            <w:r>
              <w:rPr>
                <w:rFonts w:ascii="Times New Roman" w:hAnsi="Times New Roman"/>
                <w:color w:val="auto"/>
                <w:sz w:val="24"/>
              </w:rPr>
              <w:t xml:space="preserve"> från bruttoexponeringen i samband med </w:t>
            </w:r>
            <w:proofErr w:type="spellStart"/>
            <w:r>
              <w:rPr>
                <w:rFonts w:ascii="Times New Roman" w:hAnsi="Times New Roman"/>
                <w:color w:val="auto"/>
                <w:sz w:val="24"/>
              </w:rPr>
              <w:t>poolningssystem</w:t>
            </w:r>
            <w:proofErr w:type="spellEnd"/>
            <w:r>
              <w:rPr>
                <w:rFonts w:ascii="Times New Roman" w:hAnsi="Times New Roman"/>
                <w:color w:val="auto"/>
                <w:sz w:val="24"/>
              </w:rPr>
              <w:t xml:space="preserve"> för kontanta medel (summan av raderna 0195 och 0196) i enlighet med artikel 429b.3.</w:t>
            </w:r>
          </w:p>
        </w:tc>
      </w:tr>
      <w:tr w:rsidR="00CB48CC" w:rsidRPr="00E75BB8" w14:paraId="3E08AE39" w14:textId="77777777" w:rsidTr="008979D2">
        <w:trPr>
          <w:trHeight w:val="304"/>
        </w:trPr>
        <w:tc>
          <w:tcPr>
            <w:tcW w:w="1555" w:type="dxa"/>
            <w:gridSpan w:val="2"/>
            <w:tcBorders>
              <w:bottom w:val="single" w:sz="4" w:space="0" w:color="auto"/>
            </w:tcBorders>
          </w:tcPr>
          <w:p w14:paraId="16A9AAE1" w14:textId="7B5874EF"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{0200;0010}</w:t>
            </w:r>
          </w:p>
        </w:tc>
        <w:tc>
          <w:tcPr>
            <w:tcW w:w="7566" w:type="dxa"/>
            <w:tcBorders>
              <w:bottom w:val="single" w:sz="4" w:space="0" w:color="auto"/>
            </w:tcBorders>
          </w:tcPr>
          <w:p w14:paraId="060D27D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Bruttovärdeökning för säkerheter i derivattransaktioner</w:t>
            </w:r>
          </w:p>
          <w:p w14:paraId="2AA08714" w14:textId="6F4E6D5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Artikel 429c.2 i förordning (EU) nr 575/2013.</w:t>
            </w:r>
          </w:p>
          <w:p w14:paraId="6B6AC708" w14:textId="2EC6335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Beloppet för den derivatsäkerhet som ställs där den säkerheten minskar tillgångsbeloppet enligt tillämpliga redovisningsregler, i enlighet med artikel 429c.2 i förordning (EU) nr 575/2013.</w:t>
            </w:r>
          </w:p>
          <w:p w14:paraId="3815F945" w14:textId="04AC976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 denna cell ska instituten inte ta med den ursprungliga marginalen för derivattransaktioner med kvalificerad central motpart eller medräkningsbar kontantvariationsmarginal som clearats genom motpart, enligt artikel 429c.3 i förordning (EU) nr 575/2013.</w:t>
            </w:r>
          </w:p>
        </w:tc>
      </w:tr>
      <w:tr w:rsidR="00CB48CC" w:rsidRPr="00E75BB8" w14:paraId="5CAE26AC" w14:textId="77777777" w:rsidTr="008979D2">
        <w:trPr>
          <w:trHeight w:val="304"/>
        </w:trPr>
        <w:tc>
          <w:tcPr>
            <w:tcW w:w="1555" w:type="dxa"/>
            <w:gridSpan w:val="2"/>
            <w:tcBorders>
              <w:bottom w:val="single" w:sz="4" w:space="0" w:color="auto"/>
            </w:tcBorders>
          </w:tcPr>
          <w:p w14:paraId="6E109898" w14:textId="552996B4"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{0210;0010}</w:t>
            </w:r>
          </w:p>
        </w:tc>
        <w:tc>
          <w:tcPr>
            <w:tcW w:w="7566" w:type="dxa"/>
            <w:tcBorders>
              <w:bottom w:val="single" w:sz="4" w:space="0" w:color="auto"/>
            </w:tcBorders>
          </w:tcPr>
          <w:p w14:paraId="0DBB01E6"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Fordringar för variationsmarginalsäkerhet som erhållits i kontanter i derivattransaktioner</w:t>
            </w:r>
          </w:p>
          <w:p w14:paraId="353AEF67" w14:textId="6C391B7D"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sz w:val="24"/>
              </w:rPr>
              <w:t>Artikel 429c.3 c i förordning (EU) nr 575/2013</w:t>
            </w:r>
          </w:p>
          <w:p w14:paraId="43A45BE7" w14:textId="65E078C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Fordringar för variationsmarginalsäkerhet som betalas kontant till motparten i derivattransaktioner om institutet är skyldigt, enligt tillämpliga redovisningsregler, att redovisa dessa fordringar som en tillgång, förutsatt att kraven i artikel 429c.3 a–e i förordning (EU) nr 575/2013 är uppfyllda.</w:t>
            </w:r>
          </w:p>
          <w:p w14:paraId="5E1EBFBA" w14:textId="5DE4D17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Det rapporterade beloppet ska också tas med i de övriga tillgångar som rapporteras i {0190;0010}.</w:t>
            </w:r>
          </w:p>
        </w:tc>
      </w:tr>
      <w:tr w:rsidR="00CB48CC" w:rsidRPr="00E75BB8" w14:paraId="7004E9E4" w14:textId="77777777" w:rsidTr="008979D2">
        <w:trPr>
          <w:trHeight w:val="304"/>
        </w:trPr>
        <w:tc>
          <w:tcPr>
            <w:tcW w:w="1555" w:type="dxa"/>
            <w:gridSpan w:val="2"/>
            <w:tcBorders>
              <w:bottom w:val="single" w:sz="4" w:space="0" w:color="auto"/>
            </w:tcBorders>
          </w:tcPr>
          <w:p w14:paraId="200E881A" w14:textId="0436C5A2"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{0220;0010}</w:t>
            </w:r>
          </w:p>
        </w:tc>
        <w:tc>
          <w:tcPr>
            <w:tcW w:w="7566" w:type="dxa"/>
            <w:tcBorders>
              <w:bottom w:val="single" w:sz="4" w:space="0" w:color="auto"/>
            </w:tcBorders>
          </w:tcPr>
          <w:p w14:paraId="68880B55"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Undantagen central motpartsdel av handelsexponeringar som clearats av kunden (initial marginalsäkerhet)</w:t>
            </w:r>
          </w:p>
          <w:p w14:paraId="3E812C65" w14:textId="6F86598F"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sz w:val="24"/>
              </w:rPr>
              <w:t>Artikel 429a.1 g i förordning (EU) nr 575/2013</w:t>
            </w:r>
          </w:p>
          <w:p w14:paraId="5FE3535A" w14:textId="1026B90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Andelen (ställd) initial marginalsäkerhet av undantagna handelsexponeringar mot en kvalificerad central motpart från derivattransaktioner som clearats av kunden, förutsatt att dessa poster uppfyller kraven som fastställs i artikel </w:t>
            </w:r>
            <w:proofErr w:type="gramStart"/>
            <w:r>
              <w:rPr>
                <w:rFonts w:ascii="Times New Roman" w:hAnsi="Times New Roman"/>
                <w:sz w:val="24"/>
              </w:rPr>
              <w:t>306.1</w:t>
            </w:r>
            <w:proofErr w:type="gramEnd"/>
            <w:r>
              <w:rPr>
                <w:rFonts w:ascii="Times New Roman" w:hAnsi="Times New Roman"/>
                <w:sz w:val="24"/>
              </w:rPr>
              <w:t xml:space="preserve"> c i förordning (EU) nr 575/2013.</w:t>
            </w:r>
          </w:p>
          <w:p w14:paraId="6C360905" w14:textId="21F19BE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Det rapporterade beloppet ska också tas med i de övriga tillgångar som rapporteras i {0190;0010}.</w:t>
            </w:r>
          </w:p>
        </w:tc>
      </w:tr>
      <w:tr w:rsidR="00CB48CC" w:rsidRPr="00E75BB8" w14:paraId="49F39ED5" w14:textId="77777777" w:rsidTr="008979D2">
        <w:trPr>
          <w:trHeight w:val="304"/>
        </w:trPr>
        <w:tc>
          <w:tcPr>
            <w:tcW w:w="1555" w:type="dxa"/>
            <w:gridSpan w:val="2"/>
            <w:tcBorders>
              <w:bottom w:val="single" w:sz="4" w:space="0" w:color="auto"/>
            </w:tcBorders>
          </w:tcPr>
          <w:p w14:paraId="078DD162" w14:textId="26EF1E5A"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{0230;0010}</w:t>
            </w:r>
          </w:p>
        </w:tc>
        <w:tc>
          <w:tcPr>
            <w:tcW w:w="7566" w:type="dxa"/>
            <w:tcBorders>
              <w:bottom w:val="single" w:sz="4" w:space="0" w:color="auto"/>
            </w:tcBorders>
          </w:tcPr>
          <w:p w14:paraId="66A6525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Justeringar för bokförda försäljningstransaktioner vid transaktioner för värdepappersfinansiering</w:t>
            </w:r>
          </w:p>
          <w:p w14:paraId="46B4994C" w14:textId="3895724D" w:rsidR="00CB48CC" w:rsidRPr="00D51F9E"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Artikel 429e.6 i förordning (EU) nr 575/2013</w:t>
            </w:r>
          </w:p>
          <w:p w14:paraId="05B69EB8" w14:textId="4CF799C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Värdet av värdepapper som utlånats i en återköpstransaktion som tagits bort från balansräkningen på grund av en försäljningstransaktion enligt de tillämpliga redovisningsreglerna.</w:t>
            </w:r>
          </w:p>
        </w:tc>
      </w:tr>
      <w:tr w:rsidR="00CB48CC" w:rsidRPr="00E75BB8" w14:paraId="5CBC395D" w14:textId="77777777" w:rsidTr="008979D2">
        <w:trPr>
          <w:trHeight w:val="304"/>
        </w:trPr>
        <w:tc>
          <w:tcPr>
            <w:tcW w:w="1555" w:type="dxa"/>
            <w:gridSpan w:val="2"/>
            <w:tcBorders>
              <w:bottom w:val="single" w:sz="4" w:space="0" w:color="auto"/>
            </w:tcBorders>
          </w:tcPr>
          <w:p w14:paraId="22212EBE" w14:textId="01A07AD0"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{0235;0010}</w:t>
            </w:r>
          </w:p>
        </w:tc>
        <w:tc>
          <w:tcPr>
            <w:tcW w:w="7566" w:type="dxa"/>
            <w:tcBorders>
              <w:bottom w:val="single" w:sz="4" w:space="0" w:color="auto"/>
            </w:tcBorders>
          </w:tcPr>
          <w:p w14:paraId="6E0AEEEF"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 Minskning av exponeringsvärdet för förfinansieringslån eller mellankredit </w:t>
            </w:r>
          </w:p>
          <w:p w14:paraId="44C18D39" w14:textId="584EBA41" w:rsidR="00131C70" w:rsidRPr="000B66BC" w:rsidRDefault="00131C70" w:rsidP="000B66BC">
            <w:pPr>
              <w:pStyle w:val="BodyText1"/>
              <w:spacing w:after="240" w:line="240" w:lineRule="auto"/>
              <w:rPr>
                <w:rFonts w:ascii="Times New Roman" w:hAnsi="Times New Roman"/>
                <w:bCs/>
                <w:sz w:val="24"/>
                <w:szCs w:val="24"/>
              </w:rPr>
            </w:pPr>
            <w:r>
              <w:rPr>
                <w:rFonts w:ascii="Times New Roman" w:hAnsi="Times New Roman"/>
                <w:sz w:val="24"/>
              </w:rPr>
              <w:t>Artikel 429.8 i förordning (EU) nr 575/2013</w:t>
            </w:r>
          </w:p>
          <w:p w14:paraId="211507FA" w14:textId="5F4C37FD" w:rsidR="00131C70" w:rsidRPr="000B66BC" w:rsidRDefault="00131C70" w:rsidP="000B66BC">
            <w:pPr>
              <w:pStyle w:val="BodyText1"/>
              <w:spacing w:after="240"/>
              <w:rPr>
                <w:rFonts w:ascii="Times New Roman" w:hAnsi="Times New Roman"/>
                <w:bCs/>
                <w:sz w:val="24"/>
                <w:szCs w:val="24"/>
              </w:rPr>
            </w:pPr>
            <w:r>
              <w:rPr>
                <w:rFonts w:ascii="Times New Roman" w:hAnsi="Times New Roman"/>
                <w:sz w:val="24"/>
              </w:rPr>
              <w:t>Det belopp med vilket exponeringsvärdet för ett förfinansieringslån eller en mellankredit har minskats, i enlighet med artikel 429.8 i förordning (EU) nr 575/2013.</w:t>
            </w:r>
          </w:p>
          <w:p w14:paraId="28E46325" w14:textId="539EE861" w:rsidR="00131C70" w:rsidRPr="000B66BC" w:rsidRDefault="002662F0" w:rsidP="000B66BC">
            <w:pPr>
              <w:pStyle w:val="BodyText1"/>
              <w:spacing w:after="240" w:line="240" w:lineRule="auto"/>
              <w:rPr>
                <w:rFonts w:ascii="Times New Roman" w:hAnsi="Times New Roman"/>
                <w:b/>
                <w:bCs/>
                <w:sz w:val="24"/>
                <w:szCs w:val="24"/>
              </w:rPr>
            </w:pPr>
            <w:r>
              <w:rPr>
                <w:rFonts w:ascii="Times New Roman" w:hAnsi="Times New Roman"/>
                <w:sz w:val="24"/>
              </w:rPr>
              <w:t>Det rapporterade beloppet ska tas med i de övriga tillgångar som rapporteras i {0190;0010}.</w:t>
            </w:r>
          </w:p>
        </w:tc>
      </w:tr>
      <w:tr w:rsidR="00CB48CC" w:rsidRPr="00E75BB8" w14:paraId="18C57782" w14:textId="77777777" w:rsidTr="008979D2">
        <w:trPr>
          <w:trHeight w:val="304"/>
        </w:trPr>
        <w:tc>
          <w:tcPr>
            <w:tcW w:w="1555" w:type="dxa"/>
            <w:gridSpan w:val="2"/>
            <w:tcBorders>
              <w:bottom w:val="single" w:sz="4" w:space="0" w:color="auto"/>
            </w:tcBorders>
          </w:tcPr>
          <w:p w14:paraId="3BF18418" w14:textId="18069978"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{0240;0010}</w:t>
            </w:r>
          </w:p>
        </w:tc>
        <w:tc>
          <w:tcPr>
            <w:tcW w:w="7566" w:type="dxa"/>
            <w:tcBorders>
              <w:bottom w:val="single" w:sz="4" w:space="0" w:color="auto"/>
            </w:tcBorders>
          </w:tcPr>
          <w:p w14:paraId="3B65685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Förvaltningstillgångar</w:t>
            </w:r>
          </w:p>
          <w:p w14:paraId="7B749386" w14:textId="0A0CBFBA" w:rsidR="00CB48CC" w:rsidRPr="000B66BC" w:rsidRDefault="00520E26" w:rsidP="000B66BC">
            <w:pPr>
              <w:pStyle w:val="BodyText1"/>
              <w:spacing w:after="240" w:line="240" w:lineRule="auto"/>
              <w:rPr>
                <w:rFonts w:ascii="Times New Roman" w:hAnsi="Times New Roman"/>
                <w:bCs/>
                <w:sz w:val="24"/>
                <w:szCs w:val="24"/>
              </w:rPr>
            </w:pPr>
            <w:r>
              <w:rPr>
                <w:rFonts w:ascii="Times New Roman" w:hAnsi="Times New Roman"/>
                <w:sz w:val="24"/>
              </w:rPr>
              <w:t xml:space="preserve">Artikel 429a.1 i </w:t>
            </w:r>
            <w:proofErr w:type="spellStart"/>
            <w:r>
              <w:rPr>
                <w:rFonts w:ascii="Times New Roman" w:hAnsi="Times New Roman"/>
                <w:sz w:val="24"/>
              </w:rPr>
              <w:t>i</w:t>
            </w:r>
            <w:proofErr w:type="spellEnd"/>
            <w:r>
              <w:rPr>
                <w:rFonts w:ascii="Times New Roman" w:hAnsi="Times New Roman"/>
                <w:sz w:val="24"/>
              </w:rPr>
              <w:t xml:space="preserve"> förordning (EU) nr 575/2013</w:t>
            </w:r>
          </w:p>
          <w:p w14:paraId="0AD4C34E" w14:textId="2623FBBE"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 xml:space="preserve">Värdet av förvaltningstillgångar som redovisas i institutets balansräkning enligt nationell god redovisningssed, uppfyller kriterierna i IFRS 9 för icke upptagande i balansräkningen och, i förekommande fall, kriterier för icke-konsolidering enligt IFRS 10, enligt artikel 429a.1 i </w:t>
            </w:r>
            <w:proofErr w:type="spellStart"/>
            <w:r>
              <w:rPr>
                <w:rFonts w:ascii="Times New Roman" w:hAnsi="Times New Roman"/>
                <w:sz w:val="24"/>
              </w:rPr>
              <w:t>i</w:t>
            </w:r>
            <w:proofErr w:type="spellEnd"/>
            <w:r>
              <w:rPr>
                <w:rFonts w:ascii="Times New Roman" w:hAnsi="Times New Roman"/>
                <w:sz w:val="24"/>
              </w:rPr>
              <w:t xml:space="preserve"> förordning (EU) nr 575/2013, utan effekter avseende redovisningsrelaterad nettning eller annan kreditriskreducering (dvs. eventuella effekter av redovisningsrelaterad nettning eller kreditriskreducering som har påverkat det redovisade värdet ska återföras).</w:t>
            </w:r>
          </w:p>
          <w:p w14:paraId="3BDFEE4B" w14:textId="1245B02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Det rapporterade beloppet ska också tas med i de övriga tillgångar som rapporteras i {0190;0010}.</w:t>
            </w:r>
          </w:p>
        </w:tc>
      </w:tr>
      <w:tr w:rsidR="00CB48CC" w:rsidRPr="00E75BB8" w14:paraId="6FE4C909" w14:textId="77777777" w:rsidTr="008979D2">
        <w:trPr>
          <w:trHeight w:val="304"/>
        </w:trPr>
        <w:tc>
          <w:tcPr>
            <w:tcW w:w="1555" w:type="dxa"/>
            <w:gridSpan w:val="2"/>
            <w:tcBorders>
              <w:bottom w:val="single" w:sz="4" w:space="0" w:color="auto"/>
            </w:tcBorders>
          </w:tcPr>
          <w:p w14:paraId="6A867BE8" w14:textId="56A136F0"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{0250;0010}</w:t>
            </w:r>
          </w:p>
        </w:tc>
        <w:tc>
          <w:tcPr>
            <w:tcW w:w="7566" w:type="dxa"/>
            <w:tcBorders>
              <w:bottom w:val="single" w:sz="4" w:space="0" w:color="auto"/>
            </w:tcBorders>
          </w:tcPr>
          <w:p w14:paraId="444C70A3" w14:textId="69402B4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Undantagna koncerninterna exponeringar (individuell nivå) i enlighet med artikel 429a.1 c i CRR</w:t>
            </w:r>
          </w:p>
          <w:p w14:paraId="1E2E0D64" w14:textId="4D7D7234" w:rsidR="00CB48CC" w:rsidRPr="000B66BC" w:rsidRDefault="00010563" w:rsidP="000B66BC">
            <w:pPr>
              <w:pStyle w:val="BodyText1"/>
              <w:spacing w:after="240" w:line="240" w:lineRule="auto"/>
              <w:rPr>
                <w:rFonts w:ascii="Times New Roman" w:hAnsi="Times New Roman"/>
                <w:bCs/>
                <w:sz w:val="24"/>
                <w:szCs w:val="24"/>
              </w:rPr>
            </w:pPr>
            <w:r>
              <w:rPr>
                <w:rFonts w:ascii="Times New Roman" w:hAnsi="Times New Roman"/>
                <w:sz w:val="24"/>
              </w:rPr>
              <w:t>Artiklarna 429a.1 c och 113.6 i förordning (EU) nr 575/2013</w:t>
            </w:r>
          </w:p>
          <w:p w14:paraId="76D582E8" w14:textId="03A6394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Exponeringar som inte har konsoliderats på tillämplig konsolideringsnivå, som kan behandlas på det sätt som anges i artikel 113.6 i förordning (EU) nr 575/2013, förutsatt att samtliga villkor som anges i artikel 113.6 a–e i förordning (EU) nr 575/2013 är uppfyllda och att de behöriga myndigheterna har gett sitt godkännande.</w:t>
            </w:r>
          </w:p>
          <w:p w14:paraId="01853F94" w14:textId="1684672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Det rapporterade beloppet ska också tas med i tillämpliga celler ovan som om inga undantag gällde.</w:t>
            </w:r>
          </w:p>
        </w:tc>
      </w:tr>
      <w:tr w:rsidR="00CB48CC" w:rsidRPr="00E75BB8" w14:paraId="38D7A9B9" w14:textId="77777777" w:rsidTr="008979D2">
        <w:trPr>
          <w:trHeight w:val="304"/>
        </w:trPr>
        <w:tc>
          <w:tcPr>
            <w:tcW w:w="1555" w:type="dxa"/>
            <w:gridSpan w:val="2"/>
            <w:tcBorders>
              <w:bottom w:val="single" w:sz="4" w:space="0" w:color="auto"/>
            </w:tcBorders>
          </w:tcPr>
          <w:p w14:paraId="370147EC" w14:textId="12EDC221"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{0251;0010}</w:t>
            </w:r>
          </w:p>
        </w:tc>
        <w:tc>
          <w:tcPr>
            <w:tcW w:w="7566" w:type="dxa"/>
            <w:tcBorders>
              <w:bottom w:val="single" w:sz="4" w:space="0" w:color="auto"/>
            </w:tcBorders>
          </w:tcPr>
          <w:p w14:paraId="4730EC18" w14:textId="4AA5BCE0" w:rsidR="00CB48CC" w:rsidRPr="000B66BC" w:rsidRDefault="00CB48CC" w:rsidP="000B66BC">
            <w:pPr>
              <w:spacing w:after="240"/>
              <w:jc w:val="both"/>
              <w:rPr>
                <w:rFonts w:ascii="Times New Roman" w:hAnsi="Times New Roman"/>
                <w:b/>
                <w:color w:val="auto"/>
                <w:sz w:val="24"/>
                <w:szCs w:val="24"/>
              </w:rPr>
            </w:pPr>
            <w:r>
              <w:rPr>
                <w:rFonts w:ascii="Times New Roman" w:hAnsi="Times New Roman"/>
                <w:b/>
                <w:color w:val="auto"/>
                <w:sz w:val="24"/>
              </w:rPr>
              <w:t xml:space="preserve">(–) Undantagna exponeringar avseende institutionella skyddssystem i enlighet med artikel 429a.1 c i CRR </w:t>
            </w:r>
          </w:p>
          <w:p w14:paraId="7A5F0217" w14:textId="1AEEF28A" w:rsidR="00CB48CC" w:rsidRPr="000B66BC" w:rsidRDefault="009433A7" w:rsidP="000B66BC">
            <w:pPr>
              <w:pStyle w:val="BodyText1"/>
              <w:spacing w:after="240" w:line="240" w:lineRule="auto"/>
              <w:rPr>
                <w:rFonts w:ascii="Times New Roman" w:hAnsi="Times New Roman"/>
                <w:bCs/>
                <w:sz w:val="24"/>
                <w:szCs w:val="24"/>
              </w:rPr>
            </w:pPr>
            <w:r>
              <w:rPr>
                <w:rFonts w:ascii="Times New Roman" w:hAnsi="Times New Roman"/>
                <w:sz w:val="24"/>
              </w:rPr>
              <w:t>Artiklarna 429a.1 c och 113.7 i förordning (EU) nr 575/2013</w:t>
            </w:r>
          </w:p>
          <w:p w14:paraId="16C42B04" w14:textId="0BA4DB2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Exponeringar som kan behandlas enligt artikel 113.7 i förordning (EU) nr 575/2013, förutsatt att alla villkor i artikel 113.7 a–i </w:t>
            </w:r>
            <w:proofErr w:type="spellStart"/>
            <w:r>
              <w:rPr>
                <w:rFonts w:ascii="Times New Roman" w:hAnsi="Times New Roman"/>
                <w:sz w:val="24"/>
              </w:rPr>
              <w:t>i</w:t>
            </w:r>
            <w:proofErr w:type="spellEnd"/>
            <w:r>
              <w:rPr>
                <w:rFonts w:ascii="Times New Roman" w:hAnsi="Times New Roman"/>
                <w:sz w:val="24"/>
              </w:rPr>
              <w:t xml:space="preserve"> förordning (EU) nr 575/2013 är uppfyllda och att de behöriga myndigheterna har gett sitt godkännande.</w:t>
            </w:r>
          </w:p>
          <w:p w14:paraId="3349FF66" w14:textId="7075C424"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Det rapporterade beloppet ska också tas med i tillämpliga celler ovan som om inga undantag gällde.</w:t>
            </w:r>
          </w:p>
        </w:tc>
      </w:tr>
      <w:tr w:rsidR="003D12C1" w:rsidRPr="00E75BB8" w14:paraId="74420A08" w14:textId="77777777" w:rsidTr="008979D2">
        <w:trPr>
          <w:trHeight w:val="304"/>
        </w:trPr>
        <w:tc>
          <w:tcPr>
            <w:tcW w:w="1555" w:type="dxa"/>
            <w:gridSpan w:val="2"/>
            <w:tcBorders>
              <w:bottom w:val="single" w:sz="4" w:space="0" w:color="auto"/>
            </w:tcBorders>
          </w:tcPr>
          <w:p w14:paraId="24AEF8FA" w14:textId="4344C276" w:rsidR="003D12C1" w:rsidRPr="000B66BC" w:rsidRDefault="003D12C1" w:rsidP="000B66BC">
            <w:pPr>
              <w:pStyle w:val="BodyText1"/>
              <w:spacing w:after="240"/>
              <w:rPr>
                <w:rFonts w:ascii="Times New Roman" w:hAnsi="Times New Roman"/>
                <w:bCs/>
                <w:sz w:val="24"/>
                <w:szCs w:val="24"/>
              </w:rPr>
            </w:pPr>
            <w:r>
              <w:rPr>
                <w:rFonts w:ascii="Times New Roman" w:hAnsi="Times New Roman"/>
                <w:sz w:val="24"/>
              </w:rPr>
              <w:t>{0900;0010}</w:t>
            </w:r>
          </w:p>
        </w:tc>
        <w:tc>
          <w:tcPr>
            <w:tcW w:w="7566" w:type="dxa"/>
            <w:tcBorders>
              <w:bottom w:val="single" w:sz="4" w:space="0" w:color="auto"/>
            </w:tcBorders>
          </w:tcPr>
          <w:p w14:paraId="0F7B2C03" w14:textId="4E78668C" w:rsidR="003D12C1" w:rsidRDefault="0093277B" w:rsidP="000B66BC">
            <w:pPr>
              <w:spacing w:after="240"/>
              <w:jc w:val="both"/>
              <w:rPr>
                <w:rFonts w:ascii="Times New Roman" w:hAnsi="Times New Roman"/>
                <w:b/>
                <w:color w:val="auto"/>
                <w:sz w:val="24"/>
                <w:szCs w:val="24"/>
              </w:rPr>
            </w:pPr>
            <w:r>
              <w:rPr>
                <w:rFonts w:ascii="Times New Roman" w:hAnsi="Times New Roman"/>
                <w:b/>
                <w:color w:val="auto"/>
                <w:sz w:val="24"/>
              </w:rPr>
              <w:t>(–) Undantagna exponeringar avseende institutionella skyddssystem i enlighet med artikel 429a.1 c i förordning (EU) nr 575/2013</w:t>
            </w:r>
          </w:p>
          <w:p w14:paraId="6CE8CCB5" w14:textId="724F065F" w:rsidR="00D31203" w:rsidRDefault="0093277B" w:rsidP="00D31203">
            <w:pPr>
              <w:pStyle w:val="BodyText1"/>
              <w:spacing w:after="240" w:line="240" w:lineRule="auto"/>
              <w:rPr>
                <w:rFonts w:ascii="Times New Roman" w:hAnsi="Times New Roman"/>
                <w:bCs/>
                <w:sz w:val="24"/>
                <w:szCs w:val="24"/>
              </w:rPr>
            </w:pPr>
            <w:r>
              <w:rPr>
                <w:rFonts w:ascii="Times New Roman" w:hAnsi="Times New Roman"/>
                <w:sz w:val="24"/>
              </w:rPr>
              <w:t xml:space="preserve">Artiklarna 429a.1 ca, 113.7 och 114 i förordning (EU) nr 575/2013 Exponeringar som kan behandlas enligt artikel 113.7 och artikel 114 i förordning (EU) nr 575/2013, förutsatt att alla villkor i artikel 429a.1 ca i förordning (EU) nr 575/2013 är uppfyllda. </w:t>
            </w:r>
          </w:p>
          <w:p w14:paraId="679257E0" w14:textId="1D0F3ECC" w:rsidR="0093277B" w:rsidRPr="000B66BC" w:rsidRDefault="00B96F9D" w:rsidP="00D31203">
            <w:pPr>
              <w:pStyle w:val="BodyText1"/>
              <w:spacing w:after="240" w:line="240" w:lineRule="auto"/>
            </w:pPr>
            <w:r>
              <w:rPr>
                <w:rFonts w:ascii="Times New Roman" w:hAnsi="Times New Roman"/>
                <w:sz w:val="24"/>
              </w:rPr>
              <w:t>Det rapporterade beloppet ska också tas med i tillämpliga celler ovan som om inga undantag gällde.</w:t>
            </w:r>
          </w:p>
        </w:tc>
      </w:tr>
      <w:tr w:rsidR="00EC6F1E" w:rsidRPr="00E75BB8" w14:paraId="1D8BFA67" w14:textId="77777777" w:rsidTr="008979D2">
        <w:trPr>
          <w:trHeight w:val="304"/>
        </w:trPr>
        <w:tc>
          <w:tcPr>
            <w:tcW w:w="1555" w:type="dxa"/>
            <w:gridSpan w:val="2"/>
            <w:tcBorders>
              <w:bottom w:val="single" w:sz="4" w:space="0" w:color="auto"/>
            </w:tcBorders>
            <w:vAlign w:val="center"/>
          </w:tcPr>
          <w:p w14:paraId="4496E47D" w14:textId="20CF4394"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sz w:val="24"/>
              </w:rPr>
              <w:t>{0252;0010}</w:t>
            </w:r>
          </w:p>
        </w:tc>
        <w:tc>
          <w:tcPr>
            <w:tcW w:w="7566" w:type="dxa"/>
            <w:tcBorders>
              <w:bottom w:val="single" w:sz="4" w:space="0" w:color="auto"/>
            </w:tcBorders>
            <w:vAlign w:val="center"/>
          </w:tcPr>
          <w:p w14:paraId="6BC877C8"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Undantagna garanterade delar av exponeringar till följd av exportkrediter </w:t>
            </w:r>
          </w:p>
          <w:p w14:paraId="43FFAEEA" w14:textId="5CB46AF0"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sz w:val="24"/>
              </w:rPr>
              <w:t>Artikel 429a.1 f i förordning (EU) nr 575/2013</w:t>
            </w:r>
          </w:p>
          <w:p w14:paraId="0F2E3189" w14:textId="10775FEB"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De garanterade delarna av exponeringar till följd av exportkrediter som kan uteslutas om villkoren </w:t>
            </w:r>
            <w:r>
              <w:rPr>
                <w:rFonts w:ascii="Times New Roman" w:hAnsi="Times New Roman"/>
                <w:sz w:val="24"/>
              </w:rPr>
              <w:t xml:space="preserve">i </w:t>
            </w:r>
            <w:r>
              <w:rPr>
                <w:rFonts w:ascii="Times New Roman" w:hAnsi="Times New Roman"/>
                <w:color w:val="auto"/>
                <w:sz w:val="24"/>
              </w:rPr>
              <w:t>artikel 429a.1 f i förordning (EU) nr 575/2013 är uppfyllda.</w:t>
            </w:r>
          </w:p>
          <w:p w14:paraId="4BBC9AD0" w14:textId="70F280C7"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lastRenderedPageBreak/>
              <w:t>Det rapporterade beloppet ska också tas med i tillämpliga celler ovan som om inga undantag gällde.</w:t>
            </w:r>
          </w:p>
        </w:tc>
      </w:tr>
      <w:tr w:rsidR="00EC6F1E" w:rsidRPr="00E75BB8" w14:paraId="7AD87F00" w14:textId="77777777" w:rsidTr="008979D2">
        <w:trPr>
          <w:trHeight w:val="304"/>
        </w:trPr>
        <w:tc>
          <w:tcPr>
            <w:tcW w:w="1555" w:type="dxa"/>
            <w:gridSpan w:val="2"/>
            <w:tcBorders>
              <w:bottom w:val="single" w:sz="4" w:space="0" w:color="auto"/>
            </w:tcBorders>
            <w:vAlign w:val="center"/>
          </w:tcPr>
          <w:p w14:paraId="1E11F6EB" w14:textId="77777777" w:rsidR="00EC6F1E" w:rsidRPr="000B66BC" w:rsidRDefault="00EC6F1E" w:rsidP="000B66BC">
            <w:pPr>
              <w:pStyle w:val="BodyText1"/>
              <w:spacing w:after="240"/>
              <w:rPr>
                <w:rFonts w:ascii="Times New Roman" w:hAnsi="Times New Roman"/>
                <w:bCs/>
                <w:sz w:val="24"/>
                <w:szCs w:val="24"/>
              </w:rPr>
            </w:pPr>
          </w:p>
          <w:p w14:paraId="323A635F" w14:textId="34C01BC7"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sz w:val="24"/>
              </w:rPr>
              <w:t>{0253;0010}</w:t>
            </w:r>
          </w:p>
        </w:tc>
        <w:tc>
          <w:tcPr>
            <w:tcW w:w="7566" w:type="dxa"/>
            <w:tcBorders>
              <w:bottom w:val="single" w:sz="4" w:space="0" w:color="auto"/>
            </w:tcBorders>
            <w:vAlign w:val="center"/>
          </w:tcPr>
          <w:p w14:paraId="050310BA"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Undantagna överskjutande säkerheter som deponerats hos trepartsagenter</w:t>
            </w:r>
          </w:p>
          <w:p w14:paraId="209C179F" w14:textId="4EA76EF8"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sz w:val="24"/>
              </w:rPr>
              <w:t>Artikel 429a.1 k i förordning (EU) nr 575/2013</w:t>
            </w:r>
          </w:p>
          <w:p w14:paraId="64B746C7" w14:textId="3E23835E"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sz w:val="24"/>
              </w:rPr>
              <w:t>De överskjutande säkerheter som deponerats hos en trepartsagent och som inte har lånats ut, vilka kan uteslutas enligt artikel 429a.1 k.</w:t>
            </w:r>
          </w:p>
          <w:p w14:paraId="7D107153" w14:textId="22433B1F"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Det rapporterade beloppet ska också tas med i tillämpliga celler ovan som om inga undantag gällde.</w:t>
            </w:r>
          </w:p>
        </w:tc>
      </w:tr>
      <w:tr w:rsidR="00EC6F1E" w:rsidRPr="00E75BB8" w14:paraId="54166E91" w14:textId="77777777" w:rsidTr="008979D2">
        <w:trPr>
          <w:trHeight w:val="304"/>
        </w:trPr>
        <w:tc>
          <w:tcPr>
            <w:tcW w:w="1555" w:type="dxa"/>
            <w:gridSpan w:val="2"/>
            <w:tcBorders>
              <w:bottom w:val="single" w:sz="4" w:space="0" w:color="auto"/>
            </w:tcBorders>
            <w:vAlign w:val="center"/>
          </w:tcPr>
          <w:p w14:paraId="5E8D1AF5" w14:textId="6DF49680" w:rsidR="00EC6F1E" w:rsidRPr="000B66BC" w:rsidRDefault="00EC6F1E" w:rsidP="000B66BC">
            <w:pPr>
              <w:pStyle w:val="BodyText1"/>
              <w:spacing w:after="240"/>
              <w:rPr>
                <w:rFonts w:ascii="Times New Roman" w:hAnsi="Times New Roman"/>
                <w:bCs/>
                <w:sz w:val="24"/>
                <w:szCs w:val="24"/>
              </w:rPr>
            </w:pPr>
            <w:r>
              <w:rPr>
                <w:rFonts w:ascii="Times New Roman" w:hAnsi="Times New Roman"/>
                <w:sz w:val="24"/>
              </w:rPr>
              <w:t>{0254;0010}</w:t>
            </w:r>
          </w:p>
        </w:tc>
        <w:tc>
          <w:tcPr>
            <w:tcW w:w="7566" w:type="dxa"/>
            <w:tcBorders>
              <w:bottom w:val="single" w:sz="4" w:space="0" w:color="auto"/>
            </w:tcBorders>
            <w:vAlign w:val="center"/>
          </w:tcPr>
          <w:p w14:paraId="665021DC"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Undantagna </w:t>
            </w:r>
            <w:proofErr w:type="spellStart"/>
            <w:r>
              <w:rPr>
                <w:rFonts w:ascii="Times New Roman" w:hAnsi="Times New Roman"/>
                <w:b/>
                <w:color w:val="auto"/>
                <w:sz w:val="24"/>
              </w:rPr>
              <w:t>värdepapperiserade</w:t>
            </w:r>
            <w:proofErr w:type="spellEnd"/>
            <w:r>
              <w:rPr>
                <w:rFonts w:ascii="Times New Roman" w:hAnsi="Times New Roman"/>
                <w:b/>
                <w:color w:val="auto"/>
                <w:sz w:val="24"/>
              </w:rPr>
              <w:t xml:space="preserve"> exponeringar som utgör en betydande risköverföring </w:t>
            </w:r>
          </w:p>
          <w:p w14:paraId="69C77F33" w14:textId="08590D91"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sz w:val="24"/>
              </w:rPr>
              <w:t>Artikel 429a.1 m i förordning (EU) nr 575/2013</w:t>
            </w:r>
          </w:p>
          <w:p w14:paraId="17E7D3CF" w14:textId="77777777" w:rsidR="00EC6F1E" w:rsidRPr="000B66BC" w:rsidRDefault="00EC6F1E" w:rsidP="000B66BC">
            <w:pPr>
              <w:pStyle w:val="BodyText1"/>
              <w:spacing w:after="240" w:line="240" w:lineRule="auto"/>
              <w:rPr>
                <w:rFonts w:ascii="Times New Roman" w:hAnsi="Times New Roman"/>
                <w:bCs/>
                <w:sz w:val="24"/>
                <w:szCs w:val="24"/>
              </w:rPr>
            </w:pPr>
            <w:proofErr w:type="spellStart"/>
            <w:r>
              <w:rPr>
                <w:rFonts w:ascii="Times New Roman" w:hAnsi="Times New Roman"/>
                <w:sz w:val="24"/>
              </w:rPr>
              <w:t>Värdepapperiserade</w:t>
            </w:r>
            <w:proofErr w:type="spellEnd"/>
            <w:r>
              <w:rPr>
                <w:rFonts w:ascii="Times New Roman" w:hAnsi="Times New Roman"/>
                <w:sz w:val="24"/>
              </w:rPr>
              <w:t xml:space="preserve"> exponeringar som följer av traditionell värdepapperisering som uppfyller villkoren för betydande risköverföring enligt artikel 244.2.</w:t>
            </w:r>
          </w:p>
          <w:p w14:paraId="56BAB74A" w14:textId="083FCC3D"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Det rapporterade beloppet ska också tas med i tillämpliga celler ovan som om inga undantag gällde.</w:t>
            </w:r>
          </w:p>
        </w:tc>
      </w:tr>
      <w:tr w:rsidR="00EC6F1E" w:rsidRPr="00E75BB8" w14:paraId="7069054A" w14:textId="77777777" w:rsidTr="008979D2">
        <w:trPr>
          <w:trHeight w:val="304"/>
        </w:trPr>
        <w:tc>
          <w:tcPr>
            <w:tcW w:w="1555" w:type="dxa"/>
            <w:gridSpan w:val="2"/>
            <w:tcBorders>
              <w:bottom w:val="single" w:sz="4" w:space="0" w:color="auto"/>
            </w:tcBorders>
            <w:vAlign w:val="center"/>
          </w:tcPr>
          <w:p w14:paraId="7B9CA4F6" w14:textId="3C428DC7" w:rsidR="00EC6F1E" w:rsidRPr="000B66BC" w:rsidRDefault="00EC6F1E" w:rsidP="000B66BC">
            <w:pPr>
              <w:pStyle w:val="BodyText1"/>
              <w:spacing w:after="240"/>
              <w:rPr>
                <w:rFonts w:ascii="Times New Roman" w:hAnsi="Times New Roman"/>
                <w:bCs/>
                <w:sz w:val="24"/>
                <w:szCs w:val="24"/>
              </w:rPr>
            </w:pPr>
            <w:r>
              <w:rPr>
                <w:rFonts w:ascii="Times New Roman" w:hAnsi="Times New Roman"/>
                <w:sz w:val="24"/>
              </w:rPr>
              <w:t>{0255;0010}</w:t>
            </w:r>
          </w:p>
        </w:tc>
        <w:tc>
          <w:tcPr>
            <w:tcW w:w="7566" w:type="dxa"/>
            <w:tcBorders>
              <w:bottom w:val="single" w:sz="4" w:space="0" w:color="auto"/>
            </w:tcBorders>
            <w:vAlign w:val="center"/>
          </w:tcPr>
          <w:p w14:paraId="43716DF9" w14:textId="5295AF58"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rPr>
              <w:t>(–) Undantagna exponeringar mot centralbanken i enlighet med artikel 429a.1 n i CRR</w:t>
            </w:r>
          </w:p>
          <w:p w14:paraId="737C879F" w14:textId="5B6A359D" w:rsidR="00EC6F1E" w:rsidRPr="000B66BC" w:rsidRDefault="00DE2482" w:rsidP="000B66BC">
            <w:pPr>
              <w:pStyle w:val="BodyText1"/>
              <w:spacing w:after="240" w:line="240" w:lineRule="auto"/>
              <w:rPr>
                <w:rFonts w:ascii="Times New Roman" w:hAnsi="Times New Roman"/>
                <w:bCs/>
                <w:sz w:val="24"/>
                <w:szCs w:val="24"/>
              </w:rPr>
            </w:pPr>
            <w:r>
              <w:rPr>
                <w:rFonts w:ascii="Times New Roman" w:hAnsi="Times New Roman"/>
                <w:sz w:val="24"/>
              </w:rPr>
              <w:t>Artikel 429a.1 n i förordning (EU) nr 575/2013</w:t>
            </w:r>
          </w:p>
          <w:p w14:paraId="300950AF" w14:textId="128AE793"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Det rapporterade beloppet ska också tas med i tillämpliga celler ovan som om inga undantag gällde.</w:t>
            </w:r>
          </w:p>
        </w:tc>
      </w:tr>
      <w:tr w:rsidR="00EC6F1E" w:rsidRPr="00E75BB8" w14:paraId="54E04016" w14:textId="77777777" w:rsidTr="008979D2">
        <w:trPr>
          <w:trHeight w:val="304"/>
        </w:trPr>
        <w:tc>
          <w:tcPr>
            <w:tcW w:w="1555" w:type="dxa"/>
            <w:gridSpan w:val="2"/>
            <w:tcBorders>
              <w:bottom w:val="single" w:sz="4" w:space="0" w:color="auto"/>
            </w:tcBorders>
            <w:vAlign w:val="center"/>
          </w:tcPr>
          <w:p w14:paraId="07FCDF2C" w14:textId="69109565" w:rsidR="00EC6F1E" w:rsidRPr="000B66BC" w:rsidRDefault="00EC6F1E" w:rsidP="000B66BC">
            <w:pPr>
              <w:pStyle w:val="BodyText1"/>
              <w:spacing w:after="240"/>
              <w:rPr>
                <w:rFonts w:ascii="Times New Roman" w:hAnsi="Times New Roman"/>
                <w:bCs/>
                <w:sz w:val="24"/>
                <w:szCs w:val="24"/>
              </w:rPr>
            </w:pPr>
            <w:r>
              <w:rPr>
                <w:rFonts w:ascii="Times New Roman" w:hAnsi="Times New Roman"/>
                <w:sz w:val="24"/>
              </w:rPr>
              <w:t>{0256;0010}</w:t>
            </w:r>
          </w:p>
        </w:tc>
        <w:tc>
          <w:tcPr>
            <w:tcW w:w="7566" w:type="dxa"/>
            <w:tcBorders>
              <w:bottom w:val="single" w:sz="4" w:space="0" w:color="auto"/>
            </w:tcBorders>
            <w:vAlign w:val="center"/>
          </w:tcPr>
          <w:p w14:paraId="0B0A550F" w14:textId="14979BE2"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Undantagna bankliknande sidotjänster hos värdepapperscentraler/institut i enlighet med artikel 429a.1 o i förordning (EU) nr 575/2013</w:t>
            </w:r>
          </w:p>
          <w:p w14:paraId="5D17ABE6" w14:textId="1743EA65" w:rsidR="00EC6F1E" w:rsidRPr="000B66BC" w:rsidRDefault="00F82681" w:rsidP="000B66BC">
            <w:pPr>
              <w:pStyle w:val="BodyText1"/>
              <w:spacing w:after="240" w:line="240" w:lineRule="auto"/>
              <w:rPr>
                <w:rFonts w:ascii="Times New Roman" w:hAnsi="Times New Roman"/>
                <w:bCs/>
                <w:sz w:val="24"/>
                <w:szCs w:val="24"/>
              </w:rPr>
            </w:pPr>
            <w:r>
              <w:rPr>
                <w:rFonts w:ascii="Times New Roman" w:hAnsi="Times New Roman"/>
                <w:sz w:val="24"/>
              </w:rPr>
              <w:t>Artikel 429a.1 o i förordning (EU) nr 575/2013</w:t>
            </w:r>
          </w:p>
          <w:p w14:paraId="2A59DF82" w14:textId="75E2BAB5"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Det rapporterade beloppet ska också tas med i tillämpliga celler ovan som om inga undantag gällde.</w:t>
            </w:r>
          </w:p>
        </w:tc>
      </w:tr>
      <w:tr w:rsidR="00EC6F1E" w:rsidRPr="00E75BB8" w14:paraId="796C7E67" w14:textId="77777777" w:rsidTr="008979D2">
        <w:trPr>
          <w:trHeight w:val="304"/>
        </w:trPr>
        <w:tc>
          <w:tcPr>
            <w:tcW w:w="1555" w:type="dxa"/>
            <w:gridSpan w:val="2"/>
            <w:tcBorders>
              <w:bottom w:val="single" w:sz="4" w:space="0" w:color="auto"/>
            </w:tcBorders>
            <w:vAlign w:val="center"/>
          </w:tcPr>
          <w:p w14:paraId="3A077F3C" w14:textId="5BBF63E4" w:rsidR="00EC6F1E" w:rsidRPr="000B66BC" w:rsidRDefault="0001312C" w:rsidP="000B66BC">
            <w:pPr>
              <w:pStyle w:val="BodyText1"/>
              <w:spacing w:after="240"/>
              <w:rPr>
                <w:rFonts w:ascii="Times New Roman" w:hAnsi="Times New Roman"/>
                <w:bCs/>
                <w:sz w:val="24"/>
                <w:szCs w:val="24"/>
              </w:rPr>
            </w:pPr>
            <w:r>
              <w:rPr>
                <w:rFonts w:ascii="Times New Roman" w:hAnsi="Times New Roman"/>
                <w:sz w:val="24"/>
              </w:rPr>
              <w:t>{0257;0010}</w:t>
            </w:r>
          </w:p>
        </w:tc>
        <w:tc>
          <w:tcPr>
            <w:tcW w:w="7566" w:type="dxa"/>
            <w:tcBorders>
              <w:bottom w:val="single" w:sz="4" w:space="0" w:color="auto"/>
            </w:tcBorders>
            <w:vAlign w:val="center"/>
          </w:tcPr>
          <w:p w14:paraId="4CA8E235" w14:textId="7031D048"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Undantagna bankliknande sidotjänster hos utsedda institut i enlighet med artikel 429a.1 p i CRR</w:t>
            </w:r>
          </w:p>
          <w:p w14:paraId="290DEB1D" w14:textId="2383EE7F" w:rsidR="00F82681" w:rsidRPr="000B66BC" w:rsidRDefault="00B329C6" w:rsidP="000B66BC">
            <w:pPr>
              <w:pStyle w:val="BodyText1"/>
              <w:spacing w:after="240" w:line="240" w:lineRule="auto"/>
              <w:rPr>
                <w:rFonts w:ascii="Times New Roman" w:hAnsi="Times New Roman"/>
                <w:color w:val="auto"/>
                <w:sz w:val="24"/>
                <w:szCs w:val="24"/>
              </w:rPr>
            </w:pPr>
            <w:r>
              <w:rPr>
                <w:rFonts w:ascii="Times New Roman" w:hAnsi="Times New Roman"/>
                <w:sz w:val="24"/>
              </w:rPr>
              <w:t>Artikel 429a.1 p i förordning (EU) nr 575/2013</w:t>
            </w:r>
          </w:p>
          <w:p w14:paraId="302E407B" w14:textId="2195E524"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Det rapporterade beloppet ska också tas med i tillämpliga celler ovan som om inga undantag gällde.</w:t>
            </w:r>
          </w:p>
        </w:tc>
      </w:tr>
      <w:tr w:rsidR="00CB48CC" w:rsidRPr="00E75BB8" w14:paraId="759771C3" w14:textId="77777777" w:rsidTr="008979D2">
        <w:trPr>
          <w:trHeight w:val="304"/>
        </w:trPr>
        <w:tc>
          <w:tcPr>
            <w:tcW w:w="1555" w:type="dxa"/>
            <w:gridSpan w:val="2"/>
            <w:tcBorders>
              <w:bottom w:val="single" w:sz="4" w:space="0" w:color="auto"/>
            </w:tcBorders>
          </w:tcPr>
          <w:p w14:paraId="523A3FCF" w14:textId="6DF532E0"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{0260;0010}</w:t>
            </w:r>
          </w:p>
        </w:tc>
        <w:tc>
          <w:tcPr>
            <w:tcW w:w="7566" w:type="dxa"/>
            <w:tcBorders>
              <w:bottom w:val="single" w:sz="4" w:space="0" w:color="auto"/>
            </w:tcBorders>
          </w:tcPr>
          <w:p w14:paraId="1FAED4EC" w14:textId="176154C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Undantagna exponeringar i enlighet med artikel 429a.1 j i CRR</w:t>
            </w:r>
          </w:p>
          <w:p w14:paraId="218BC8E5" w14:textId="0EE868DE" w:rsidR="00CB48CC" w:rsidRPr="000B66BC" w:rsidRDefault="00B329C6" w:rsidP="000B66BC">
            <w:pPr>
              <w:pStyle w:val="BodyText1"/>
              <w:spacing w:after="240" w:line="240" w:lineRule="auto"/>
              <w:rPr>
                <w:rFonts w:ascii="Times New Roman" w:hAnsi="Times New Roman"/>
                <w:bCs/>
                <w:sz w:val="24"/>
                <w:szCs w:val="24"/>
              </w:rPr>
            </w:pPr>
            <w:r>
              <w:rPr>
                <w:rFonts w:ascii="Times New Roman" w:hAnsi="Times New Roman"/>
                <w:sz w:val="24"/>
              </w:rPr>
              <w:t>Artikel 429a.1 j i förordning (EU) nr 575/2013</w:t>
            </w:r>
          </w:p>
          <w:p w14:paraId="3A1ACCB0" w14:textId="050BCAC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Exponeringar som undantagits i enlighet med artikel 429a.1 j i förordning (EU) nr 575/2013, förutsatt att samtliga villkor som anges däri är uppfyllda.</w:t>
            </w:r>
          </w:p>
          <w:p w14:paraId="639566D9" w14:textId="70FB6A4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Det rapporterade beloppet ska också tas med i tillämpliga celler ovan som om inga undantag gällde.</w:t>
            </w:r>
          </w:p>
        </w:tc>
      </w:tr>
      <w:tr w:rsidR="00CB48CC" w:rsidRPr="00E75BB8" w14:paraId="4D2ECF18" w14:textId="77777777" w:rsidTr="008979D2">
        <w:trPr>
          <w:trHeight w:val="304"/>
        </w:trPr>
        <w:tc>
          <w:tcPr>
            <w:tcW w:w="1555" w:type="dxa"/>
            <w:gridSpan w:val="2"/>
            <w:tcBorders>
              <w:bottom w:val="single" w:sz="4" w:space="0" w:color="auto"/>
            </w:tcBorders>
            <w:vAlign w:val="center"/>
          </w:tcPr>
          <w:p w14:paraId="4DF44B5D" w14:textId="2AAC5E7C"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{0261;0010}</w:t>
            </w:r>
          </w:p>
        </w:tc>
        <w:tc>
          <w:tcPr>
            <w:tcW w:w="7566" w:type="dxa"/>
            <w:tcBorders>
              <w:bottom w:val="single" w:sz="4" w:space="0" w:color="auto"/>
            </w:tcBorders>
            <w:vAlign w:val="center"/>
          </w:tcPr>
          <w:p w14:paraId="7117C87C" w14:textId="7829B627" w:rsidR="00743C1E" w:rsidRPr="000B66BC" w:rsidRDefault="009D46F6"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 </w:t>
            </w:r>
            <w:r>
              <w:rPr>
                <w:rFonts w:ascii="Times New Roman" w:hAnsi="Times New Roman"/>
                <w:b/>
                <w:color w:val="auto"/>
                <w:sz w:val="24"/>
              </w:rPr>
              <w:t>(–) Undantagna exponeringar för offentliga utvecklingskreditinstitut – offentliga investeringar</w:t>
            </w:r>
          </w:p>
          <w:p w14:paraId="387343FE" w14:textId="306E8AEF" w:rsidR="00743C1E" w:rsidRPr="000B66BC" w:rsidRDefault="00993549" w:rsidP="000B66BC">
            <w:pPr>
              <w:pStyle w:val="BodyText1"/>
              <w:spacing w:after="240" w:line="240" w:lineRule="auto"/>
              <w:rPr>
                <w:rFonts w:ascii="Times New Roman" w:hAnsi="Times New Roman"/>
                <w:bCs/>
                <w:sz w:val="24"/>
                <w:szCs w:val="24"/>
              </w:rPr>
            </w:pPr>
            <w:r>
              <w:rPr>
                <w:rFonts w:ascii="Times New Roman" w:hAnsi="Times New Roman"/>
                <w:sz w:val="24"/>
              </w:rPr>
              <w:t>Artikel 429a.1 d och 429a.2 i förordning (EU) nr 575/2013</w:t>
            </w:r>
          </w:p>
          <w:p w14:paraId="740BFE27" w14:textId="1BD4C27A" w:rsidR="00743C1E" w:rsidRPr="000B66BC" w:rsidRDefault="00743C1E" w:rsidP="000B66BC">
            <w:pPr>
              <w:pStyle w:val="BodyText1"/>
              <w:spacing w:after="240" w:line="240" w:lineRule="auto"/>
              <w:rPr>
                <w:rFonts w:ascii="Times New Roman" w:hAnsi="Times New Roman"/>
                <w:color w:val="auto"/>
                <w:sz w:val="24"/>
                <w:szCs w:val="24"/>
              </w:rPr>
            </w:pPr>
            <w:r>
              <w:rPr>
                <w:rFonts w:ascii="Times New Roman" w:hAnsi="Times New Roman"/>
                <w:sz w:val="24"/>
              </w:rPr>
              <w:t>Exponeringar som härrör från tillgångar som utgör fordringar på nationella regeringar, delstatliga eller lokala självstyrelseorgan eller offentliga organ i samband med investeringar i den offentliga sektorn, vilka kan undantas i enlighet med artikel 429a.1 d i förordning (EU) nr 575/2013.</w:t>
            </w:r>
          </w:p>
          <w:p w14:paraId="0B2209FE" w14:textId="4A72C105" w:rsidR="000F5958" w:rsidRPr="000B66BC" w:rsidRDefault="000F5958"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Om fordran även uppfyller kraven för att klassificeras som ett subventionerat lån enligt artikel 429a.3 ska den inte rapporteras i denna cell utan på raderna 0262–0264, beroende på vad som är tillämpligt.</w:t>
            </w:r>
          </w:p>
          <w:p w14:paraId="1F103E32" w14:textId="51AB418A"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Det rapporterade beloppet ska också tas med i tillämpliga celler ovan som om inga undantag gällde.</w:t>
            </w:r>
          </w:p>
        </w:tc>
      </w:tr>
      <w:tr w:rsidR="00CB48CC" w:rsidRPr="00E75BB8" w14:paraId="53C01F29" w14:textId="77777777" w:rsidTr="008979D2">
        <w:trPr>
          <w:trHeight w:val="304"/>
        </w:trPr>
        <w:tc>
          <w:tcPr>
            <w:tcW w:w="1555" w:type="dxa"/>
            <w:gridSpan w:val="2"/>
            <w:tcBorders>
              <w:bottom w:val="single" w:sz="4" w:space="0" w:color="auto"/>
            </w:tcBorders>
            <w:vAlign w:val="center"/>
          </w:tcPr>
          <w:p w14:paraId="17CB97C6" w14:textId="5334142B"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{0262;0010}</w:t>
            </w:r>
          </w:p>
        </w:tc>
        <w:tc>
          <w:tcPr>
            <w:tcW w:w="7566" w:type="dxa"/>
            <w:tcBorders>
              <w:bottom w:val="single" w:sz="4" w:space="0" w:color="auto"/>
            </w:tcBorders>
            <w:vAlign w:val="center"/>
          </w:tcPr>
          <w:p w14:paraId="788A486A"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Undantagna exponeringar för offentliga utvecklingskreditinstitut – subventionerade lån beviljade av ett offentligt utvecklingskreditinstitut</w:t>
            </w:r>
          </w:p>
          <w:p w14:paraId="30828A29" w14:textId="4C357904" w:rsidR="00743C1E" w:rsidRPr="000B66BC" w:rsidRDefault="00542529" w:rsidP="000B66BC">
            <w:pPr>
              <w:pStyle w:val="BodyText1"/>
              <w:spacing w:after="240" w:line="240" w:lineRule="auto"/>
              <w:rPr>
                <w:rFonts w:ascii="Times New Roman" w:hAnsi="Times New Roman"/>
                <w:bCs/>
                <w:sz w:val="24"/>
                <w:szCs w:val="24"/>
              </w:rPr>
            </w:pPr>
            <w:r>
              <w:rPr>
                <w:rFonts w:ascii="Times New Roman" w:hAnsi="Times New Roman"/>
                <w:sz w:val="24"/>
              </w:rPr>
              <w:t>Artikel 429a.1 d, 429a.2 och 429a.3 i förordning (EU) nr 575/2013</w:t>
            </w:r>
          </w:p>
          <w:p w14:paraId="672E00E2" w14:textId="08CD6F59"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 xml:space="preserve">Exponeringar som härrör från subventionerade lån, </w:t>
            </w:r>
            <w:proofErr w:type="gramStart"/>
            <w:r>
              <w:rPr>
                <w:rFonts w:ascii="Times New Roman" w:hAnsi="Times New Roman"/>
                <w:sz w:val="24"/>
              </w:rPr>
              <w:t>inbegripet förmedling</w:t>
            </w:r>
            <w:proofErr w:type="gramEnd"/>
            <w:r>
              <w:rPr>
                <w:rFonts w:ascii="Times New Roman" w:hAnsi="Times New Roman"/>
                <w:sz w:val="24"/>
              </w:rPr>
              <w:t xml:space="preserve"> (</w:t>
            </w:r>
            <w:proofErr w:type="spellStart"/>
            <w:r>
              <w:rPr>
                <w:rFonts w:ascii="Times New Roman" w:hAnsi="Times New Roman"/>
                <w:sz w:val="24"/>
              </w:rPr>
              <w:t>passing-through</w:t>
            </w:r>
            <w:proofErr w:type="spellEnd"/>
            <w:r>
              <w:rPr>
                <w:rFonts w:ascii="Times New Roman" w:hAnsi="Times New Roman"/>
                <w:sz w:val="24"/>
              </w:rPr>
              <w:t>) av subventionerade lån, beviljade av ett offentligt utvecklingskreditinstitut och som kan undantas i enlighet med artikel 429a.1 d i förordning (EU) nr 575/2013.</w:t>
            </w:r>
            <w:r>
              <w:rPr>
                <w:rFonts w:ascii="Times New Roman" w:hAnsi="Times New Roman"/>
                <w:color w:val="auto"/>
                <w:sz w:val="24"/>
              </w:rPr>
              <w:t xml:space="preserve"> </w:t>
            </w:r>
            <w:r>
              <w:rPr>
                <w:rFonts w:ascii="Times New Roman" w:hAnsi="Times New Roman"/>
                <w:sz w:val="24"/>
              </w:rPr>
              <w:t>De exponeringar för den enhet i ett institut som av en behörig myndighet behandlas som ett offentligt utvecklingskreditinstitut i enlighet med artikel 429a.2 sista stycket i förordning (EU) nr 575/2013 ska också beaktas.</w:t>
            </w:r>
          </w:p>
          <w:p w14:paraId="64C77AD5" w14:textId="227981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Det rapporterade beloppet ska också tas med i tillämpliga celler ovan som om inga undantag gällde.</w:t>
            </w:r>
          </w:p>
        </w:tc>
      </w:tr>
      <w:tr w:rsidR="00CB48CC" w:rsidRPr="00E75BB8" w14:paraId="00B60DDD" w14:textId="77777777" w:rsidTr="008979D2">
        <w:trPr>
          <w:trHeight w:val="304"/>
        </w:trPr>
        <w:tc>
          <w:tcPr>
            <w:tcW w:w="1555" w:type="dxa"/>
            <w:gridSpan w:val="2"/>
            <w:tcBorders>
              <w:bottom w:val="single" w:sz="4" w:space="0" w:color="auto"/>
            </w:tcBorders>
            <w:vAlign w:val="center"/>
          </w:tcPr>
          <w:p w14:paraId="0C78434F" w14:textId="7703C49F"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{0263;0010}</w:t>
            </w:r>
          </w:p>
        </w:tc>
        <w:tc>
          <w:tcPr>
            <w:tcW w:w="7566" w:type="dxa"/>
            <w:tcBorders>
              <w:bottom w:val="single" w:sz="4" w:space="0" w:color="auto"/>
            </w:tcBorders>
            <w:vAlign w:val="center"/>
          </w:tcPr>
          <w:p w14:paraId="7CBAF840"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Undantagna exponeringar för offentliga utvecklingskreditinstitut – subventionerade lån beviljade av en enhet som inrättats direkt av en medlemsstats nationella regering, delstatliga eller lokala självstyrelseorgan eller myndigheter</w:t>
            </w:r>
          </w:p>
          <w:p w14:paraId="4B17F8AE" w14:textId="36E2BB1D"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sz w:val="24"/>
              </w:rPr>
              <w:t>Artikel 429a.1 d, 429a.2 och 429a.3 i förordning (EU) nr 575/2013.</w:t>
            </w:r>
          </w:p>
          <w:p w14:paraId="6FAF30DE" w14:textId="69B451A9"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sz w:val="24"/>
              </w:rPr>
              <w:lastRenderedPageBreak/>
              <w:t>Exponeringar som härrör från subventionerade lån, inbegripet förmedling (</w:t>
            </w:r>
            <w:proofErr w:type="spellStart"/>
            <w:r>
              <w:rPr>
                <w:rFonts w:ascii="Times New Roman" w:hAnsi="Times New Roman"/>
                <w:sz w:val="24"/>
              </w:rPr>
              <w:t>passing-through</w:t>
            </w:r>
            <w:proofErr w:type="spellEnd"/>
            <w:r>
              <w:rPr>
                <w:rFonts w:ascii="Times New Roman" w:hAnsi="Times New Roman"/>
                <w:sz w:val="24"/>
              </w:rPr>
              <w:t>) av subventionerade lån, beviljade av en enhet som inrättats direkt av en nationell regering, delstatliga eller lokala självstyrelseorgan eller myndigheter i en medlemsstat och som kan undantas i enlighet med artikel 429a.1 d. Exponeringar för den enhet i ett institut som av en behörig myndighet behandlas som ett offentligt utvecklingskreditinstitut i enlighet med artikel 429a.2 sista stycket ska också beaktas.</w:t>
            </w:r>
          </w:p>
          <w:p w14:paraId="5A3364FC" w14:textId="2A7576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Det rapporterade beloppet ska också tas med i tillämpliga celler ovan som om inga undantag gällde.</w:t>
            </w:r>
          </w:p>
        </w:tc>
      </w:tr>
      <w:tr w:rsidR="00CB48CC" w:rsidRPr="00E75BB8" w14:paraId="24911276" w14:textId="77777777" w:rsidTr="008979D2">
        <w:trPr>
          <w:trHeight w:val="304"/>
        </w:trPr>
        <w:tc>
          <w:tcPr>
            <w:tcW w:w="1555" w:type="dxa"/>
            <w:gridSpan w:val="2"/>
            <w:tcBorders>
              <w:bottom w:val="single" w:sz="4" w:space="0" w:color="auto"/>
            </w:tcBorders>
            <w:vAlign w:val="center"/>
          </w:tcPr>
          <w:p w14:paraId="633E837E" w14:textId="64229AC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lastRenderedPageBreak/>
              <w:t>{0264;0010}</w:t>
            </w:r>
          </w:p>
        </w:tc>
        <w:tc>
          <w:tcPr>
            <w:tcW w:w="7566" w:type="dxa"/>
            <w:tcBorders>
              <w:bottom w:val="single" w:sz="4" w:space="0" w:color="auto"/>
            </w:tcBorders>
            <w:vAlign w:val="center"/>
          </w:tcPr>
          <w:p w14:paraId="7047590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Undantagna exponeringar för offentliga utvecklingskreditinstitut – subventionerade lån beviljade av en enhet som inrättats av en medlemsstats nationella regering, delstatliga eller lokala självstyrelseorgan eller myndigheter genom ett förmedlande kreditinstitut</w:t>
            </w:r>
          </w:p>
          <w:p w14:paraId="6754B207" w14:textId="33310FD8"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sz w:val="24"/>
              </w:rPr>
              <w:t>Artikel 429a.1 d, 429a.2 och 429a.3 i förordning (EU) nr 575/2013.</w:t>
            </w:r>
          </w:p>
          <w:p w14:paraId="77D97E64" w14:textId="0FCAF836"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Exponeringar som härrör från subventionerade lån, inbegripet förmedling (</w:t>
            </w:r>
            <w:proofErr w:type="spellStart"/>
            <w:r>
              <w:rPr>
                <w:rFonts w:ascii="Times New Roman" w:hAnsi="Times New Roman"/>
                <w:color w:val="auto"/>
                <w:sz w:val="24"/>
              </w:rPr>
              <w:t>passing-through</w:t>
            </w:r>
            <w:proofErr w:type="spellEnd"/>
            <w:r>
              <w:rPr>
                <w:rFonts w:ascii="Times New Roman" w:hAnsi="Times New Roman"/>
                <w:color w:val="auto"/>
                <w:sz w:val="24"/>
              </w:rPr>
              <w:t xml:space="preserve">) av subventionerade lån, beviljade av en enhet som inrättats av en nationell regering, delstatliga eller lokala självstyrelseorgan och myndigheter i en medlemsstat genom ett förmedlande kreditinstitut och som kan undantas i enlighet med artikel </w:t>
            </w:r>
            <w:r>
              <w:rPr>
                <w:rFonts w:ascii="Times New Roman" w:hAnsi="Times New Roman"/>
                <w:sz w:val="24"/>
              </w:rPr>
              <w:t>429a.1 d. Exponeringar för den enhet i ett institut som av en behörig myndighet behandlas som ett offentligt utvecklingskreditinstitut i enlighet med artikel 429a.2 sista stycket ska också beaktas.</w:t>
            </w:r>
          </w:p>
          <w:p w14:paraId="318709D6" w14:textId="775B94CC"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Det rapporterade beloppet ska också tas med i tillämpliga celler ovan som om inga undantag gällde.</w:t>
            </w:r>
          </w:p>
        </w:tc>
      </w:tr>
      <w:tr w:rsidR="009D26A9" w:rsidRPr="00E75BB8" w14:paraId="6D70027E" w14:textId="77777777" w:rsidTr="008979D2">
        <w:trPr>
          <w:trHeight w:val="304"/>
        </w:trPr>
        <w:tc>
          <w:tcPr>
            <w:tcW w:w="1555" w:type="dxa"/>
            <w:gridSpan w:val="2"/>
            <w:tcBorders>
              <w:bottom w:val="single" w:sz="4" w:space="0" w:color="auto"/>
            </w:tcBorders>
            <w:vAlign w:val="center"/>
          </w:tcPr>
          <w:p w14:paraId="23AB3133" w14:textId="474ED6D5" w:rsidR="009D26A9" w:rsidRPr="000B66BC" w:rsidRDefault="009D26A9" w:rsidP="000B66BC">
            <w:pPr>
              <w:pStyle w:val="BodyText1"/>
              <w:spacing w:after="240"/>
              <w:rPr>
                <w:rFonts w:ascii="Times New Roman" w:hAnsi="Times New Roman"/>
                <w:bCs/>
                <w:sz w:val="24"/>
                <w:szCs w:val="24"/>
              </w:rPr>
            </w:pPr>
            <w:r>
              <w:rPr>
                <w:rFonts w:ascii="Times New Roman" w:hAnsi="Times New Roman"/>
                <w:sz w:val="24"/>
              </w:rPr>
              <w:t>{0910;0010}</w:t>
            </w:r>
          </w:p>
        </w:tc>
        <w:tc>
          <w:tcPr>
            <w:tcW w:w="7566" w:type="dxa"/>
            <w:tcBorders>
              <w:bottom w:val="single" w:sz="4" w:space="0" w:color="auto"/>
            </w:tcBorders>
            <w:vAlign w:val="center"/>
          </w:tcPr>
          <w:p w14:paraId="18FEA65B" w14:textId="77777777" w:rsidR="009D26A9" w:rsidRDefault="009D26A9"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Undantagna exponeringar mot aktieägare enligt artikel 429a.1 da</w:t>
            </w:r>
          </w:p>
          <w:p w14:paraId="55A02ADA" w14:textId="3694931B" w:rsidR="009D26A9" w:rsidRDefault="009D26A9" w:rsidP="000B66BC">
            <w:pPr>
              <w:pStyle w:val="BodyText1"/>
              <w:spacing w:after="240" w:line="240" w:lineRule="auto"/>
              <w:rPr>
                <w:rFonts w:ascii="Times New Roman" w:hAnsi="Times New Roman"/>
                <w:bCs/>
                <w:sz w:val="24"/>
                <w:szCs w:val="24"/>
              </w:rPr>
            </w:pPr>
            <w:r>
              <w:rPr>
                <w:rFonts w:ascii="Times New Roman" w:hAnsi="Times New Roman"/>
                <w:sz w:val="24"/>
              </w:rPr>
              <w:t>Artikel 429a.1 da i förordning (EU) nr 575/2013.</w:t>
            </w:r>
          </w:p>
          <w:p w14:paraId="0CBC407D" w14:textId="26679CAA" w:rsidR="00F62C28" w:rsidRDefault="001E5373" w:rsidP="000B66BC">
            <w:pPr>
              <w:pStyle w:val="BodyText1"/>
              <w:spacing w:after="240" w:line="240" w:lineRule="auto"/>
              <w:rPr>
                <w:rFonts w:ascii="Times New Roman" w:hAnsi="Times New Roman"/>
                <w:bCs/>
                <w:sz w:val="24"/>
                <w:szCs w:val="24"/>
              </w:rPr>
            </w:pPr>
            <w:r>
              <w:rPr>
                <w:rFonts w:ascii="Times New Roman" w:hAnsi="Times New Roman"/>
                <w:sz w:val="24"/>
              </w:rPr>
              <w:t xml:space="preserve">Institutets exponeringar mot aktieägare som är kreditinstitut, förutsatt att de är säkrade och att alla villkor i led da är uppfyllda. </w:t>
            </w:r>
          </w:p>
          <w:p w14:paraId="798B3B54" w14:textId="3FA80E52" w:rsidR="00280AF8" w:rsidRPr="000B66BC" w:rsidRDefault="00280AF8" w:rsidP="000B66BC">
            <w:pPr>
              <w:pStyle w:val="BodyText1"/>
              <w:spacing w:after="240" w:line="240" w:lineRule="auto"/>
              <w:rPr>
                <w:rFonts w:ascii="Times New Roman" w:hAnsi="Times New Roman"/>
                <w:b/>
                <w:color w:val="auto"/>
                <w:sz w:val="24"/>
                <w:szCs w:val="24"/>
              </w:rPr>
            </w:pPr>
            <w:r>
              <w:rPr>
                <w:rFonts w:ascii="Times New Roman" w:hAnsi="Times New Roman"/>
                <w:sz w:val="24"/>
              </w:rPr>
              <w:t>Det rapporterade beloppet ska också tas med i tillämpliga celler ovan som om inga undantag gällde.</w:t>
            </w:r>
          </w:p>
        </w:tc>
      </w:tr>
      <w:tr w:rsidR="00CB48CC" w:rsidRPr="00E75BB8" w14:paraId="337CD92B" w14:textId="77777777" w:rsidTr="008979D2">
        <w:trPr>
          <w:trHeight w:val="304"/>
        </w:trPr>
        <w:tc>
          <w:tcPr>
            <w:tcW w:w="1555" w:type="dxa"/>
            <w:gridSpan w:val="2"/>
            <w:tcBorders>
              <w:bottom w:val="single" w:sz="4" w:space="0" w:color="auto"/>
            </w:tcBorders>
            <w:vAlign w:val="center"/>
          </w:tcPr>
          <w:p w14:paraId="6C7E09CA" w14:textId="166BCBE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{0265;0010}</w:t>
            </w:r>
          </w:p>
        </w:tc>
        <w:tc>
          <w:tcPr>
            <w:tcW w:w="7566" w:type="dxa"/>
            <w:tcBorders>
              <w:bottom w:val="single" w:sz="4" w:space="0" w:color="auto"/>
            </w:tcBorders>
            <w:vAlign w:val="center"/>
          </w:tcPr>
          <w:p w14:paraId="3A4A6AD1"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Undantagna exponeringar för icke-offentliga utvecklingskreditinstitut (eller utvecklingsenheter) vid förmedling (</w:t>
            </w:r>
            <w:proofErr w:type="spellStart"/>
            <w:r>
              <w:rPr>
                <w:rFonts w:ascii="Times New Roman" w:hAnsi="Times New Roman"/>
                <w:b/>
                <w:color w:val="auto"/>
                <w:sz w:val="24"/>
              </w:rPr>
              <w:t>passing-through</w:t>
            </w:r>
            <w:proofErr w:type="spellEnd"/>
            <w:r>
              <w:rPr>
                <w:rFonts w:ascii="Times New Roman" w:hAnsi="Times New Roman"/>
                <w:b/>
                <w:color w:val="auto"/>
                <w:sz w:val="24"/>
              </w:rPr>
              <w:t>) av subventionerade lån – subventionerade lån beviljade av ett offentligt utvecklingskreditinstitut</w:t>
            </w:r>
          </w:p>
          <w:p w14:paraId="51F998E0" w14:textId="6FF1F6C1" w:rsidR="009D46F6" w:rsidRPr="000B66BC" w:rsidRDefault="0079137A" w:rsidP="000B66BC">
            <w:pPr>
              <w:pStyle w:val="BodyText1"/>
              <w:spacing w:after="240" w:line="240" w:lineRule="auto"/>
              <w:rPr>
                <w:rFonts w:ascii="Times New Roman" w:hAnsi="Times New Roman"/>
                <w:bCs/>
                <w:sz w:val="24"/>
                <w:szCs w:val="24"/>
              </w:rPr>
            </w:pPr>
            <w:r>
              <w:rPr>
                <w:rFonts w:ascii="Times New Roman" w:hAnsi="Times New Roman"/>
                <w:sz w:val="24"/>
              </w:rPr>
              <w:t>Artikel 429a.1 e, 429a.2 och 429a.3 i förordning (EU) nr 575/2013.</w:t>
            </w:r>
          </w:p>
          <w:p w14:paraId="6B9968E8" w14:textId="7DFDBBBB" w:rsidR="00743C1E"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De delar av exponeringar som följer av förmedling (</w:t>
            </w:r>
            <w:proofErr w:type="spellStart"/>
            <w:r>
              <w:rPr>
                <w:rFonts w:ascii="Times New Roman" w:hAnsi="Times New Roman"/>
                <w:color w:val="auto"/>
                <w:sz w:val="24"/>
              </w:rPr>
              <w:t>passing-through</w:t>
            </w:r>
            <w:proofErr w:type="spellEnd"/>
            <w:r>
              <w:rPr>
                <w:rFonts w:ascii="Times New Roman" w:hAnsi="Times New Roman"/>
                <w:color w:val="auto"/>
                <w:sz w:val="24"/>
              </w:rPr>
              <w:t xml:space="preserve">) av subventionerade lån till andra kreditinstitut, om de subventionerade lånen har </w:t>
            </w:r>
            <w:r>
              <w:rPr>
                <w:rFonts w:ascii="Times New Roman" w:hAnsi="Times New Roman"/>
                <w:color w:val="auto"/>
                <w:sz w:val="24"/>
              </w:rPr>
              <w:lastRenderedPageBreak/>
              <w:t xml:space="preserve">beviljats av ett offentligt utvecklingskreditinstitut. </w:t>
            </w:r>
            <w:r>
              <w:rPr>
                <w:rFonts w:ascii="Times New Roman" w:hAnsi="Times New Roman"/>
                <w:sz w:val="24"/>
              </w:rPr>
              <w:t>De delar av exponeringarna som rör enheter i ett institut som av en behörig myndighet inte behandlas som ett offentligt utvecklingskreditinstitut i enlighet med artikel 429a.2 sista stycket ska också beaktas.</w:t>
            </w:r>
          </w:p>
          <w:p w14:paraId="1CF30E6B" w14:textId="322E3C8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Det rapporterade beloppet ska också tas med i tillämpliga celler ovan som om inga undantag gällde.</w:t>
            </w:r>
          </w:p>
        </w:tc>
      </w:tr>
      <w:tr w:rsidR="00CB48CC" w:rsidRPr="00E75BB8" w14:paraId="02D73868" w14:textId="77777777" w:rsidTr="008979D2">
        <w:trPr>
          <w:trHeight w:val="304"/>
        </w:trPr>
        <w:tc>
          <w:tcPr>
            <w:tcW w:w="1555" w:type="dxa"/>
            <w:gridSpan w:val="2"/>
            <w:tcBorders>
              <w:bottom w:val="single" w:sz="4" w:space="0" w:color="auto"/>
            </w:tcBorders>
            <w:vAlign w:val="center"/>
          </w:tcPr>
          <w:p w14:paraId="57A4063C" w14:textId="06DE7FF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lastRenderedPageBreak/>
              <w:t>{0266;0010}</w:t>
            </w:r>
          </w:p>
        </w:tc>
        <w:tc>
          <w:tcPr>
            <w:tcW w:w="7566" w:type="dxa"/>
            <w:tcBorders>
              <w:bottom w:val="single" w:sz="4" w:space="0" w:color="auto"/>
            </w:tcBorders>
            <w:vAlign w:val="center"/>
          </w:tcPr>
          <w:p w14:paraId="4A900DC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Undantagna exponeringar för icke-offentliga utvecklingskreditinstitut (eller utvecklingsenheter) vid förmedling (</w:t>
            </w:r>
            <w:proofErr w:type="spellStart"/>
            <w:r>
              <w:rPr>
                <w:rFonts w:ascii="Times New Roman" w:hAnsi="Times New Roman"/>
                <w:b/>
                <w:color w:val="auto"/>
                <w:sz w:val="24"/>
              </w:rPr>
              <w:t>passing-through</w:t>
            </w:r>
            <w:proofErr w:type="spellEnd"/>
            <w:r>
              <w:rPr>
                <w:rFonts w:ascii="Times New Roman" w:hAnsi="Times New Roman"/>
                <w:b/>
                <w:color w:val="auto"/>
                <w:sz w:val="24"/>
              </w:rPr>
              <w:t>) av subventionerade lån – subventionerade lån beviljade av en enhet som inrättats direkt av en nationell regering, delstatliga eller lokala självstyrelseorgan eller myndigheter i en medlemsstat</w:t>
            </w:r>
          </w:p>
          <w:p w14:paraId="003BD5E4" w14:textId="30943184" w:rsidR="00743C1E"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sz w:val="24"/>
              </w:rPr>
              <w:t>Artikel 429a.1 e, 429a.2 och 429a.3 i förordning (EU) nr 575/2013.</w:t>
            </w:r>
          </w:p>
          <w:p w14:paraId="128930FF" w14:textId="4A97FBF9" w:rsidR="00415D69"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De delar av exponeringar som följer av förmedling (</w:t>
            </w:r>
            <w:proofErr w:type="spellStart"/>
            <w:r>
              <w:rPr>
                <w:rFonts w:ascii="Times New Roman" w:hAnsi="Times New Roman"/>
                <w:color w:val="auto"/>
                <w:sz w:val="24"/>
              </w:rPr>
              <w:t>passing-through</w:t>
            </w:r>
            <w:proofErr w:type="spellEnd"/>
            <w:r>
              <w:rPr>
                <w:rFonts w:ascii="Times New Roman" w:hAnsi="Times New Roman"/>
                <w:color w:val="auto"/>
                <w:sz w:val="24"/>
              </w:rPr>
              <w:t xml:space="preserve">) av subventionerade lån till andra kreditinstitut, om de subventionerade lånen har beviljats av en enhet som inrättats direkt av en nationell regering, delstatliga eller lokala självstyrelseorgan eller myndigheter i en medlemsstat. </w:t>
            </w:r>
            <w:r>
              <w:rPr>
                <w:rFonts w:ascii="Times New Roman" w:hAnsi="Times New Roman"/>
                <w:sz w:val="24"/>
              </w:rPr>
              <w:t>De delar av exponeringarna som rör enheter i ett institut som av en behörig myndighet inte behandlas som ett offentligt utvecklingskreditinstitut i enlighet med artikel 429a.2 sista stycket ska också beaktas.</w:t>
            </w:r>
          </w:p>
          <w:p w14:paraId="4DD1C09D" w14:textId="67B346B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Det rapporterade beloppet ska också tas med i tillämpliga celler ovan som om inga undantag gällde.</w:t>
            </w:r>
          </w:p>
        </w:tc>
      </w:tr>
      <w:tr w:rsidR="00CB48CC" w:rsidRPr="00E75BB8" w14:paraId="78DBF21B" w14:textId="77777777" w:rsidTr="008979D2">
        <w:trPr>
          <w:trHeight w:val="304"/>
        </w:trPr>
        <w:tc>
          <w:tcPr>
            <w:tcW w:w="1555" w:type="dxa"/>
            <w:gridSpan w:val="2"/>
            <w:tcBorders>
              <w:bottom w:val="single" w:sz="4" w:space="0" w:color="auto"/>
            </w:tcBorders>
            <w:vAlign w:val="center"/>
          </w:tcPr>
          <w:p w14:paraId="159B9A71" w14:textId="29511FD8" w:rsidR="00946138"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{0267;0010}</w:t>
            </w:r>
          </w:p>
        </w:tc>
        <w:tc>
          <w:tcPr>
            <w:tcW w:w="7566" w:type="dxa"/>
            <w:tcBorders>
              <w:bottom w:val="single" w:sz="4" w:space="0" w:color="auto"/>
            </w:tcBorders>
            <w:vAlign w:val="center"/>
          </w:tcPr>
          <w:p w14:paraId="0D809E6C"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Undantagna exponeringar för icke-offentliga utvecklingskreditinstitut (eller enheter) vid vidarebefordran på pass </w:t>
            </w:r>
            <w:proofErr w:type="spellStart"/>
            <w:r>
              <w:rPr>
                <w:rFonts w:ascii="Times New Roman" w:hAnsi="Times New Roman"/>
                <w:b/>
                <w:color w:val="auto"/>
                <w:sz w:val="24"/>
              </w:rPr>
              <w:t>through</w:t>
            </w:r>
            <w:proofErr w:type="spellEnd"/>
            <w:r>
              <w:rPr>
                <w:rFonts w:ascii="Times New Roman" w:hAnsi="Times New Roman"/>
                <w:b/>
                <w:color w:val="auto"/>
                <w:sz w:val="24"/>
              </w:rPr>
              <w:t>-basis av subventionerade lån – subventionerade lån beviljade av en enhet som inrättats av en nationell regering, delstatliga eller lokala självstyrelseorgan eller myndigheter i en medlemsstat genom ett förmedlande kreditinstitut</w:t>
            </w:r>
          </w:p>
          <w:p w14:paraId="30EAE7BC" w14:textId="403C61E8" w:rsidR="009D46F6"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sz w:val="24"/>
              </w:rPr>
              <w:t>Artikel 429a.1 e, 429a.2 och 429a.3 i förordning (EU) nr 575/2013.</w:t>
            </w:r>
          </w:p>
          <w:p w14:paraId="3DE31CDF" w14:textId="7B1B92C9" w:rsidR="00743C1E"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De delar av exponeringar som följer av förmedling (</w:t>
            </w:r>
            <w:proofErr w:type="spellStart"/>
            <w:r>
              <w:rPr>
                <w:rFonts w:ascii="Times New Roman" w:hAnsi="Times New Roman"/>
                <w:color w:val="auto"/>
                <w:sz w:val="24"/>
              </w:rPr>
              <w:t>passing-through</w:t>
            </w:r>
            <w:proofErr w:type="spellEnd"/>
            <w:r>
              <w:rPr>
                <w:rFonts w:ascii="Times New Roman" w:hAnsi="Times New Roman"/>
                <w:color w:val="auto"/>
                <w:sz w:val="24"/>
              </w:rPr>
              <w:t xml:space="preserve">) av subventionerade lån till andra kreditinstitut, om de subventionerade lånen har beviljats av en enhet som inrättats av en nationell regering, delstatliga eller lokala självstyrelseorgan eller myndigheter i en medlemsstat genom ett förmedlande kreditinstitut. </w:t>
            </w:r>
            <w:r>
              <w:rPr>
                <w:rFonts w:ascii="Times New Roman" w:hAnsi="Times New Roman"/>
                <w:sz w:val="24"/>
              </w:rPr>
              <w:t>De delar av exponeringarna som rör enheter i ett institut som av en behörig myndighet inte behandlas som ett offentligt utvecklingskreditinstitut i enlighet med artikel 429a.2 sista stycket ska också beaktas.</w:t>
            </w:r>
          </w:p>
          <w:p w14:paraId="53C99EBF" w14:textId="67514C6D"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Det rapporterade beloppet ska också tas med i tillämpliga celler ovan som om inga undantag gällde.</w:t>
            </w:r>
          </w:p>
        </w:tc>
      </w:tr>
      <w:tr w:rsidR="001F5E87" w:rsidRPr="00E75BB8" w14:paraId="61EC7F94" w14:textId="77777777" w:rsidTr="008979D2">
        <w:trPr>
          <w:trHeight w:val="304"/>
        </w:trPr>
        <w:tc>
          <w:tcPr>
            <w:tcW w:w="1555" w:type="dxa"/>
            <w:gridSpan w:val="2"/>
            <w:tcBorders>
              <w:bottom w:val="single" w:sz="4" w:space="0" w:color="auto"/>
            </w:tcBorders>
          </w:tcPr>
          <w:p w14:paraId="04D68E82" w14:textId="38E814D6" w:rsidR="001F5E87" w:rsidRPr="000B66BC" w:rsidRDefault="00A81E17" w:rsidP="000B66BC">
            <w:pPr>
              <w:pStyle w:val="BodyText1"/>
              <w:spacing w:after="240"/>
              <w:rPr>
                <w:rFonts w:ascii="Times New Roman" w:hAnsi="Times New Roman"/>
                <w:bCs/>
                <w:sz w:val="24"/>
                <w:szCs w:val="24"/>
              </w:rPr>
            </w:pPr>
            <w:r>
              <w:rPr>
                <w:rFonts w:ascii="Times New Roman" w:hAnsi="Times New Roman"/>
                <w:sz w:val="24"/>
              </w:rPr>
              <w:lastRenderedPageBreak/>
              <w:t>{0268;0010}</w:t>
            </w:r>
          </w:p>
        </w:tc>
        <w:tc>
          <w:tcPr>
            <w:tcW w:w="7566" w:type="dxa"/>
            <w:tcBorders>
              <w:bottom w:val="single" w:sz="4" w:space="0" w:color="auto"/>
            </w:tcBorders>
          </w:tcPr>
          <w:p w14:paraId="41E224EF" w14:textId="297E8B69" w:rsidR="001F5E87" w:rsidRDefault="00D01FB9" w:rsidP="000B66BC">
            <w:pPr>
              <w:pStyle w:val="BodyText1"/>
              <w:spacing w:after="240" w:line="240" w:lineRule="auto"/>
              <w:rPr>
                <w:rFonts w:ascii="Times New Roman" w:hAnsi="Times New Roman"/>
                <w:b/>
                <w:bCs/>
                <w:sz w:val="24"/>
                <w:szCs w:val="24"/>
              </w:rPr>
            </w:pPr>
            <w:r>
              <w:rPr>
                <w:rFonts w:ascii="Times New Roman" w:hAnsi="Times New Roman"/>
                <w:b/>
                <w:sz w:val="24"/>
              </w:rPr>
              <w:t>(–) Exponeringar avdragna i enlighet med artikel 429a.1 q i CRR</w:t>
            </w:r>
          </w:p>
          <w:p w14:paraId="435D6AA0" w14:textId="53149545" w:rsidR="00515841" w:rsidRPr="008B5EF0" w:rsidRDefault="00515841" w:rsidP="000B66BC">
            <w:pPr>
              <w:pStyle w:val="BodyText1"/>
              <w:spacing w:after="240" w:line="240" w:lineRule="auto"/>
              <w:rPr>
                <w:rFonts w:ascii="Times New Roman" w:hAnsi="Times New Roman"/>
                <w:sz w:val="24"/>
                <w:szCs w:val="24"/>
              </w:rPr>
            </w:pPr>
            <w:r>
              <w:rPr>
                <w:rFonts w:ascii="Times New Roman" w:hAnsi="Times New Roman"/>
                <w:color w:val="auto"/>
                <w:sz w:val="24"/>
              </w:rPr>
              <w:t>Artikel 429a.1 q</w:t>
            </w:r>
            <w:r>
              <w:rPr>
                <w:rFonts w:ascii="Times New Roman" w:hAnsi="Times New Roman"/>
                <w:sz w:val="24"/>
              </w:rPr>
              <w:t xml:space="preserve"> </w:t>
            </w:r>
          </w:p>
          <w:p w14:paraId="692A1C06" w14:textId="6C394410" w:rsidR="007264E7" w:rsidRDefault="00B145BB" w:rsidP="000B66BC">
            <w:pPr>
              <w:pStyle w:val="BodyText1"/>
              <w:spacing w:after="240" w:line="240" w:lineRule="auto"/>
              <w:rPr>
                <w:rFonts w:ascii="Times New Roman" w:hAnsi="Times New Roman"/>
                <w:color w:val="auto"/>
                <w:sz w:val="24"/>
                <w:szCs w:val="24"/>
              </w:rPr>
            </w:pPr>
            <w:r>
              <w:rPr>
                <w:rFonts w:ascii="Times New Roman" w:hAnsi="Times New Roman"/>
                <w:sz w:val="24"/>
              </w:rPr>
              <w:t>Exponeringar som är föremål för sådan behandling som anges i artikel 72e.5 första stycket i förordning (EU) nr 575/2013.</w:t>
            </w:r>
          </w:p>
          <w:p w14:paraId="3625C467" w14:textId="194C53D5" w:rsidR="00227BD1" w:rsidRPr="000B66BC" w:rsidRDefault="00227BD1" w:rsidP="000B66BC">
            <w:pPr>
              <w:pStyle w:val="BodyText1"/>
              <w:spacing w:after="240" w:line="240" w:lineRule="auto"/>
              <w:rPr>
                <w:rFonts w:ascii="Times New Roman" w:hAnsi="Times New Roman"/>
                <w:b/>
                <w:bCs/>
                <w:sz w:val="24"/>
                <w:szCs w:val="24"/>
              </w:rPr>
            </w:pPr>
            <w:r>
              <w:rPr>
                <w:rFonts w:ascii="Times New Roman" w:hAnsi="Times New Roman"/>
                <w:sz w:val="24"/>
              </w:rPr>
              <w:t>Det rapporterade beloppet ska också tas med i tillämpliga celler ovan som om inga undantag gällde.</w:t>
            </w:r>
          </w:p>
        </w:tc>
      </w:tr>
      <w:tr w:rsidR="008979D2" w:rsidRPr="002A3F7D" w14:paraId="02A38F46" w14:textId="77777777" w:rsidTr="008B2DDF">
        <w:trPr>
          <w:trHeight w:val="304"/>
        </w:trPr>
        <w:tc>
          <w:tcPr>
            <w:tcW w:w="1531" w:type="dxa"/>
            <w:tcBorders>
              <w:top w:val="single" w:sz="4" w:space="0" w:color="auto"/>
              <w:left w:val="single" w:sz="4" w:space="0" w:color="auto"/>
              <w:bottom w:val="single" w:sz="4" w:space="0" w:color="auto"/>
              <w:right w:val="single" w:sz="4" w:space="0" w:color="auto"/>
            </w:tcBorders>
          </w:tcPr>
          <w:p w14:paraId="3A17A7AD" w14:textId="7906D106" w:rsidR="008979D2" w:rsidRPr="000B66BC" w:rsidRDefault="008979D2" w:rsidP="008B2DDF">
            <w:pPr>
              <w:pStyle w:val="BodyText1"/>
              <w:spacing w:after="240"/>
              <w:rPr>
                <w:rFonts w:ascii="Times New Roman" w:hAnsi="Times New Roman"/>
                <w:bCs/>
                <w:sz w:val="24"/>
                <w:szCs w:val="24"/>
              </w:rPr>
            </w:pPr>
            <w:r>
              <w:rPr>
                <w:rFonts w:ascii="Times New Roman" w:hAnsi="Times New Roman"/>
                <w:sz w:val="24"/>
              </w:rPr>
              <w:t>{0269;0010}</w:t>
            </w:r>
          </w:p>
        </w:tc>
        <w:tc>
          <w:tcPr>
            <w:tcW w:w="7590" w:type="dxa"/>
            <w:gridSpan w:val="2"/>
            <w:tcBorders>
              <w:top w:val="single" w:sz="4" w:space="0" w:color="auto"/>
              <w:left w:val="single" w:sz="4" w:space="0" w:color="auto"/>
              <w:bottom w:val="single" w:sz="4" w:space="0" w:color="auto"/>
              <w:right w:val="single" w:sz="4" w:space="0" w:color="auto"/>
            </w:tcBorders>
            <w:vAlign w:val="center"/>
          </w:tcPr>
          <w:p w14:paraId="38885990" w14:textId="77777777" w:rsidR="008979D2" w:rsidRPr="002A3F7D" w:rsidRDefault="008979D2" w:rsidP="008B2DDF">
            <w:pPr>
              <w:pStyle w:val="BodyText1"/>
              <w:spacing w:after="240" w:line="240" w:lineRule="auto"/>
              <w:rPr>
                <w:rFonts w:ascii="Times New Roman" w:hAnsi="Times New Roman"/>
                <w:b/>
                <w:color w:val="auto"/>
                <w:sz w:val="24"/>
                <w:szCs w:val="24"/>
              </w:rPr>
            </w:pPr>
            <w:r>
              <w:rPr>
                <w:rFonts w:ascii="Times New Roman" w:hAnsi="Times New Roman"/>
                <w:b/>
                <w:color w:val="auto"/>
                <w:sz w:val="24"/>
              </w:rPr>
              <w:t>Ytterligare bruttosoliditetsexponering i enlighet med artikel 3 i CRR</w:t>
            </w:r>
          </w:p>
          <w:p w14:paraId="6CB5E131" w14:textId="77777777" w:rsidR="008979D2" w:rsidRDefault="008979D2" w:rsidP="008B2DDF">
            <w:pPr>
              <w:pStyle w:val="BodyText1"/>
              <w:spacing w:after="240" w:line="240" w:lineRule="auto"/>
              <w:rPr>
                <w:rFonts w:ascii="Times New Roman" w:hAnsi="Times New Roman"/>
                <w:color w:val="auto"/>
                <w:sz w:val="24"/>
                <w:szCs w:val="24"/>
              </w:rPr>
            </w:pPr>
            <w:r>
              <w:rPr>
                <w:rFonts w:ascii="Times New Roman" w:hAnsi="Times New Roman"/>
                <w:color w:val="auto"/>
                <w:sz w:val="24"/>
              </w:rPr>
              <w:t>Artikel 3 i förordning (EU) nr 575/2013</w:t>
            </w:r>
          </w:p>
          <w:p w14:paraId="61E0A840" w14:textId="4E58CC03" w:rsidR="008979D2" w:rsidRPr="002A3F7D" w:rsidRDefault="008979D2" w:rsidP="008B2DDF">
            <w:pPr>
              <w:pStyle w:val="BodyText1"/>
              <w:spacing w:after="240" w:line="240" w:lineRule="auto"/>
              <w:rPr>
                <w:rFonts w:ascii="Times New Roman" w:hAnsi="Times New Roman"/>
                <w:color w:val="auto"/>
                <w:sz w:val="24"/>
                <w:szCs w:val="24"/>
              </w:rPr>
            </w:pPr>
            <w:r>
              <w:rPr>
                <w:rFonts w:ascii="Times New Roman" w:hAnsi="Times New Roman"/>
                <w:color w:val="auto"/>
                <w:sz w:val="24"/>
              </w:rPr>
              <w:t>Ytterligare bruttosoliditetsexponering ska rapporteras. Endast de ytterligare beloppen ska anges.</w:t>
            </w:r>
          </w:p>
        </w:tc>
      </w:tr>
      <w:tr w:rsidR="00CB48CC" w:rsidRPr="00E75BB8" w14:paraId="39D281E6" w14:textId="77777777" w:rsidTr="008979D2">
        <w:trPr>
          <w:trHeight w:val="304"/>
        </w:trPr>
        <w:tc>
          <w:tcPr>
            <w:tcW w:w="1555" w:type="dxa"/>
            <w:gridSpan w:val="2"/>
            <w:tcBorders>
              <w:bottom w:val="single" w:sz="4" w:space="0" w:color="auto"/>
            </w:tcBorders>
          </w:tcPr>
          <w:p w14:paraId="28E3E527" w14:textId="64B2DB2E"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{0270;0010}</w:t>
            </w:r>
          </w:p>
          <w:p w14:paraId="49DAE00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CD09A92" w14:textId="77777777" w:rsidR="00CB48CC" w:rsidRPr="000B66BC" w:rsidRDefault="00CB48CC" w:rsidP="000B66BC">
            <w:pPr>
              <w:pStyle w:val="BodyText1"/>
              <w:spacing w:after="240" w:line="240" w:lineRule="auto"/>
              <w:rPr>
                <w:rFonts w:ascii="Times New Roman" w:hAnsi="Times New Roman"/>
                <w:sz w:val="24"/>
                <w:szCs w:val="24"/>
              </w:rPr>
            </w:pPr>
            <w:r>
              <w:rPr>
                <w:rFonts w:ascii="Times New Roman" w:hAnsi="Times New Roman"/>
                <w:b/>
                <w:sz w:val="24"/>
              </w:rPr>
              <w:t xml:space="preserve">(−) Avdraget tillgångsbelopp – primärkapital – fullständigt </w:t>
            </w:r>
            <w:proofErr w:type="spellStart"/>
            <w:r>
              <w:rPr>
                <w:rFonts w:ascii="Times New Roman" w:hAnsi="Times New Roman"/>
                <w:b/>
                <w:sz w:val="24"/>
              </w:rPr>
              <w:t>infasad</w:t>
            </w:r>
            <w:proofErr w:type="spellEnd"/>
            <w:r>
              <w:rPr>
                <w:rFonts w:ascii="Times New Roman" w:hAnsi="Times New Roman"/>
                <w:b/>
                <w:sz w:val="24"/>
              </w:rPr>
              <w:t xml:space="preserve"> definition</w:t>
            </w:r>
          </w:p>
          <w:p w14:paraId="7786B29A" w14:textId="6BF51AB0" w:rsidR="00CB48CC" w:rsidRPr="000B66BC" w:rsidRDefault="00542529" w:rsidP="000B66BC">
            <w:pPr>
              <w:pStyle w:val="BodyText1"/>
              <w:spacing w:after="240" w:line="240" w:lineRule="auto"/>
              <w:rPr>
                <w:rFonts w:ascii="Times New Roman" w:hAnsi="Times New Roman"/>
                <w:sz w:val="24"/>
                <w:szCs w:val="24"/>
              </w:rPr>
            </w:pPr>
            <w:r>
              <w:rPr>
                <w:rFonts w:ascii="Times New Roman" w:hAnsi="Times New Roman"/>
                <w:sz w:val="24"/>
              </w:rPr>
              <w:t>Artiklarna 429a.1 b och 499.1 a i förordning (EU) nr 575/2013</w:t>
            </w:r>
          </w:p>
          <w:p w14:paraId="675D8B7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Detta innefattar samtliga justeringar som ändrar värdet på en tillgång och som krävs enligt</w:t>
            </w:r>
          </w:p>
          <w:p w14:paraId="0ABD1D78" w14:textId="350DBBF6"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 xml:space="preserve">artiklarna 32–35 i förordning (EU) nr 575/2013, eller </w:t>
            </w:r>
          </w:p>
          <w:p w14:paraId="14203D05" w14:textId="6AF0A71A"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artiklarna 36–47 i förordning (EU) nr 575/2013, eller</w:t>
            </w:r>
          </w:p>
          <w:p w14:paraId="33D193AD" w14:textId="2D478F6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artiklarna 56–60 i förordning (EU) nr 575/2013,</w:t>
            </w:r>
          </w:p>
          <w:p w14:paraId="0A1B29C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beroende på vad som är tillämpligt.</w:t>
            </w:r>
          </w:p>
          <w:p w14:paraId="75E8D9BE" w14:textId="0C22040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Institut ska ta hänsyn till de undantag, alternativ och avståenden från sådana avdrag som fastställs i artiklarna 48, 49 och 79 i förordning (EU) nr 575/2013, men inte ta hänsyn till det undantag som fastställs i del tio avdelning I kapitel 1, 2 och 4 i förordning (EU) nr 575/2013. För att undvika dubbelräkning ska institut varken rapportera de justeringar som redan tillämpats enligt artikel 111 i förordning (EU) nr 575/2013 när de beräknar exponeringsvärdet i {0010;0010} till {0269;0010}</w:t>
            </w:r>
            <w:r>
              <w:rPr>
                <w:sz w:val="24"/>
              </w:rPr>
              <w:t xml:space="preserve"> </w:t>
            </w:r>
            <w:r>
              <w:rPr>
                <w:rFonts w:ascii="Times New Roman" w:hAnsi="Times New Roman"/>
                <w:sz w:val="24"/>
              </w:rPr>
              <w:t>eller rapportera justeringar som inte drar av värdet på en specifik tillgång.</w:t>
            </w:r>
          </w:p>
          <w:p w14:paraId="36ECE9CF" w14:textId="32731BE5"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Eftersom dessa belopp redan har dragits av från kapitalmåttet, minskar de bruttosoliditetsexponeringen och rapporteras därför som negativa siffror.</w:t>
            </w:r>
          </w:p>
        </w:tc>
      </w:tr>
      <w:tr w:rsidR="00CB48CC" w:rsidRPr="00E75BB8" w14:paraId="70428859" w14:textId="77777777" w:rsidTr="008979D2">
        <w:trPr>
          <w:trHeight w:val="304"/>
        </w:trPr>
        <w:tc>
          <w:tcPr>
            <w:tcW w:w="1555" w:type="dxa"/>
            <w:gridSpan w:val="2"/>
            <w:tcBorders>
              <w:bottom w:val="single" w:sz="4" w:space="0" w:color="auto"/>
            </w:tcBorders>
          </w:tcPr>
          <w:p w14:paraId="5BCE2B05" w14:textId="02607C2D"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{0280;0010}</w:t>
            </w:r>
          </w:p>
          <w:p w14:paraId="0F555030"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6F1EE18" w14:textId="44020D72" w:rsidR="00CB48CC" w:rsidRPr="000B66BC" w:rsidRDefault="003164FD" w:rsidP="000B66BC">
            <w:pPr>
              <w:pStyle w:val="BodyText1"/>
              <w:spacing w:after="240" w:line="240" w:lineRule="auto"/>
              <w:rPr>
                <w:rFonts w:ascii="Times New Roman" w:hAnsi="Times New Roman"/>
                <w:bCs/>
                <w:sz w:val="24"/>
                <w:szCs w:val="24"/>
              </w:rPr>
            </w:pPr>
            <w:r>
              <w:rPr>
                <w:rFonts w:ascii="Times New Roman" w:hAnsi="Times New Roman"/>
                <w:b/>
                <w:sz w:val="24"/>
              </w:rPr>
              <w:t>(-) Avdraget tillgångsbelopp – primärkapital – övergångsdefinition</w:t>
            </w:r>
          </w:p>
          <w:p w14:paraId="552CF68D" w14:textId="77F955BA" w:rsidR="00CB48CC" w:rsidRPr="000B66BC" w:rsidRDefault="006F5F1F" w:rsidP="000B66BC">
            <w:pPr>
              <w:pStyle w:val="BodyText1"/>
              <w:spacing w:after="240" w:line="240" w:lineRule="auto"/>
              <w:rPr>
                <w:rFonts w:ascii="Times New Roman" w:hAnsi="Times New Roman"/>
                <w:bCs/>
                <w:sz w:val="24"/>
                <w:szCs w:val="24"/>
              </w:rPr>
            </w:pPr>
            <w:r>
              <w:rPr>
                <w:rFonts w:ascii="Times New Roman" w:hAnsi="Times New Roman"/>
                <w:sz w:val="24"/>
              </w:rPr>
              <w:t>Artiklarna 429a.1 b och 499.1 a i förordning (EU) nr 575/2013</w:t>
            </w:r>
          </w:p>
          <w:p w14:paraId="1C7AD92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Detta innefattar samtliga justeringar som ändrar värdet på en tillgång och som krävs enligt</w:t>
            </w:r>
          </w:p>
          <w:p w14:paraId="2FE9C127" w14:textId="335AB7DB"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 xml:space="preserve">artiklarna 32–35 i förordning (EU) nr 575/2013, eller </w:t>
            </w:r>
          </w:p>
          <w:p w14:paraId="35A3C50B" w14:textId="3A4C2CFE"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 xml:space="preserve">artiklarna 36–47 i förordning (EU) nr 575/2013, eller </w:t>
            </w:r>
          </w:p>
          <w:p w14:paraId="66CB0299" w14:textId="1766DD59"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artiklarna 56–60 i förordning (EU) nr 575/2013,</w:t>
            </w:r>
          </w:p>
          <w:p w14:paraId="152F8BF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beroende på vad som är tillämpligt.</w:t>
            </w:r>
          </w:p>
          <w:p w14:paraId="730A3940" w14:textId="24896934" w:rsidR="00D9327B"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Institut ska ta hänsyn till de undantag, alternativ och avståenden från sådana avdrag som fastställs i artiklarna 48, 49 och 79 i förordning (EU) nr 575/2013, utöver hänsyn till undantagen som fastställs i del </w:t>
            </w:r>
            <w:proofErr w:type="gramStart"/>
            <w:r>
              <w:rPr>
                <w:rFonts w:ascii="Times New Roman" w:hAnsi="Times New Roman"/>
                <w:sz w:val="24"/>
              </w:rPr>
              <w:t>tio avdelning</w:t>
            </w:r>
            <w:proofErr w:type="gramEnd"/>
            <w:r>
              <w:rPr>
                <w:rFonts w:ascii="Times New Roman" w:hAnsi="Times New Roman"/>
                <w:sz w:val="24"/>
              </w:rPr>
              <w:t xml:space="preserve"> I kapitlen 1, 2 och 4 i förordning (EU) nr 575/2013. För att undvika dubbelräkning ska institut varken rapportera de justeringar som redan tillämpats enligt artikel 111 i förordning (EU) nr 575/2013 när de beräknar exponeringsvärdet i {0010;0010} till {0269;0010} eller rapportera justeringar som inte drar av värdet på en specifik tillgång.</w:t>
            </w:r>
          </w:p>
          <w:p w14:paraId="33460AF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Eftersom dessa belopp redan har dragits av från kapitalmåttet, minskar de bruttosoliditetsexponeringen och rapporteras därför som negativa siffror.</w:t>
            </w:r>
          </w:p>
          <w:p w14:paraId="5A75B235" w14:textId="399DE8C6" w:rsidR="00CB48CC" w:rsidRPr="000B66BC" w:rsidRDefault="00CB48CC" w:rsidP="000B66BC">
            <w:pPr>
              <w:pStyle w:val="BodyText1"/>
              <w:spacing w:after="240" w:line="240" w:lineRule="auto"/>
              <w:rPr>
                <w:rFonts w:ascii="Times New Roman" w:hAnsi="Times New Roman"/>
                <w:b/>
                <w:bCs/>
                <w:sz w:val="24"/>
                <w:szCs w:val="24"/>
              </w:rPr>
            </w:pPr>
          </w:p>
        </w:tc>
      </w:tr>
      <w:tr w:rsidR="00CB48CC" w:rsidRPr="00E75BB8" w14:paraId="2854FA96" w14:textId="77777777" w:rsidTr="008979D2">
        <w:trPr>
          <w:trHeight w:val="304"/>
        </w:trPr>
        <w:tc>
          <w:tcPr>
            <w:tcW w:w="1555" w:type="dxa"/>
            <w:gridSpan w:val="2"/>
            <w:tcBorders>
              <w:bottom w:val="single" w:sz="4" w:space="0" w:color="auto"/>
            </w:tcBorders>
          </w:tcPr>
          <w:p w14:paraId="4375AA27" w14:textId="5FEC739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{0290;0010}</w:t>
            </w:r>
          </w:p>
          <w:p w14:paraId="140D82B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5BA90C" w14:textId="6C419506"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Summa bruttosoliditetsexponering – med en fullständigt </w:t>
            </w:r>
            <w:proofErr w:type="spellStart"/>
            <w:r>
              <w:rPr>
                <w:rFonts w:ascii="Times New Roman" w:hAnsi="Times New Roman"/>
                <w:b/>
                <w:sz w:val="24"/>
              </w:rPr>
              <w:t>infasad</w:t>
            </w:r>
            <w:proofErr w:type="spellEnd"/>
            <w:r>
              <w:rPr>
                <w:rFonts w:ascii="Times New Roman" w:hAnsi="Times New Roman"/>
                <w:b/>
                <w:sz w:val="24"/>
              </w:rPr>
              <w:t xml:space="preserve"> definition av primärkapital</w:t>
            </w:r>
          </w:p>
          <w:p w14:paraId="18A90C99" w14:textId="79F7D615" w:rsidR="00CB48CC" w:rsidRPr="000B66BC" w:rsidRDefault="0026270F" w:rsidP="000B66BC">
            <w:pPr>
              <w:pStyle w:val="BodyText1"/>
              <w:spacing w:after="240" w:line="240" w:lineRule="auto"/>
              <w:rPr>
                <w:rFonts w:ascii="Times New Roman" w:hAnsi="Times New Roman"/>
                <w:b/>
                <w:bCs/>
                <w:sz w:val="24"/>
                <w:szCs w:val="24"/>
              </w:rPr>
            </w:pPr>
            <w:r>
              <w:rPr>
                <w:rFonts w:ascii="Times New Roman" w:hAnsi="Times New Roman"/>
                <w:sz w:val="24"/>
              </w:rPr>
              <w:t>Institut ska rapportera summan av alla rader från 0010 till 0269 och rad 0270.</w:t>
            </w:r>
          </w:p>
        </w:tc>
      </w:tr>
      <w:tr w:rsidR="00CB48CC" w:rsidRPr="00E75BB8" w14:paraId="16865D6C" w14:textId="77777777" w:rsidTr="008979D2">
        <w:trPr>
          <w:trHeight w:val="304"/>
        </w:trPr>
        <w:tc>
          <w:tcPr>
            <w:tcW w:w="1555" w:type="dxa"/>
            <w:gridSpan w:val="2"/>
            <w:tcBorders>
              <w:bottom w:val="single" w:sz="4" w:space="0" w:color="auto"/>
            </w:tcBorders>
          </w:tcPr>
          <w:p w14:paraId="5F1E1E63" w14:textId="6C4A4D91"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{0300;0010}</w:t>
            </w:r>
          </w:p>
          <w:p w14:paraId="2180AA43"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62C2DC4" w14:textId="132D1D7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Summa bruttosoliditetsexponering – med en övergångsdefinition av primärkapital</w:t>
            </w:r>
          </w:p>
          <w:p w14:paraId="247E260C" w14:textId="3BD2777D"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 xml:space="preserve">Institut ska rapportera summan av alla rader från 0010 till 0269 och rad 0280. </w:t>
            </w:r>
          </w:p>
        </w:tc>
      </w:tr>
      <w:tr w:rsidR="00CB48CC" w:rsidRPr="00E75BB8" w14:paraId="25B9F129" w14:textId="77777777" w:rsidTr="008979D2">
        <w:trPr>
          <w:trHeight w:val="304"/>
        </w:trPr>
        <w:tc>
          <w:tcPr>
            <w:tcW w:w="1555" w:type="dxa"/>
            <w:gridSpan w:val="2"/>
            <w:shd w:val="pct25" w:color="auto" w:fill="auto"/>
          </w:tcPr>
          <w:p w14:paraId="069EB129" w14:textId="740388FD"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rPr>
              <w:t>Rad och kolumn</w:t>
            </w:r>
          </w:p>
        </w:tc>
        <w:tc>
          <w:tcPr>
            <w:tcW w:w="7566" w:type="dxa"/>
            <w:shd w:val="pct25" w:color="auto" w:fill="auto"/>
          </w:tcPr>
          <w:p w14:paraId="10FF1AF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Kapital </w:t>
            </w:r>
          </w:p>
        </w:tc>
      </w:tr>
      <w:tr w:rsidR="00CB48CC" w:rsidRPr="00E75BB8" w14:paraId="448FE1D7" w14:textId="77777777" w:rsidTr="008979D2">
        <w:trPr>
          <w:trHeight w:val="304"/>
        </w:trPr>
        <w:tc>
          <w:tcPr>
            <w:tcW w:w="1555" w:type="dxa"/>
            <w:gridSpan w:val="2"/>
          </w:tcPr>
          <w:p w14:paraId="696588A9" w14:textId="3F9C3A82"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{0310;0010}</w:t>
            </w:r>
          </w:p>
          <w:p w14:paraId="7738A245"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F0EFDF6" w14:textId="46AB3F1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xml:space="preserve">Primärkapital – fullständigt </w:t>
            </w:r>
            <w:proofErr w:type="spellStart"/>
            <w:r>
              <w:rPr>
                <w:rFonts w:ascii="Times New Roman" w:hAnsi="Times New Roman"/>
                <w:b/>
                <w:sz w:val="24"/>
              </w:rPr>
              <w:t>infasad</w:t>
            </w:r>
            <w:proofErr w:type="spellEnd"/>
            <w:r>
              <w:rPr>
                <w:rFonts w:ascii="Times New Roman" w:hAnsi="Times New Roman"/>
                <w:b/>
                <w:sz w:val="24"/>
              </w:rPr>
              <w:t xml:space="preserve"> definition</w:t>
            </w:r>
          </w:p>
          <w:p w14:paraId="6D31890D" w14:textId="143ECED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Artiklarna 429.3 och 499.1 a i förordning (EU) nr 575/2013</w:t>
            </w:r>
          </w:p>
          <w:p w14:paraId="49E3D5DA" w14:textId="0B6B733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Avser primärkapitalet beräknat i enlighet med artikel 25 i förordning (EU) nr 575/2013, utan hänsyn tagen till det undantag som fastställs i del tio avdelning I kapitel 1, 2 och 4 i förordning (EU) nr 575/2013.</w:t>
            </w:r>
          </w:p>
        </w:tc>
      </w:tr>
      <w:tr w:rsidR="00CB48CC" w:rsidRPr="00E75BB8" w14:paraId="2B054486" w14:textId="77777777" w:rsidTr="008979D2">
        <w:trPr>
          <w:trHeight w:val="304"/>
        </w:trPr>
        <w:tc>
          <w:tcPr>
            <w:tcW w:w="1555" w:type="dxa"/>
            <w:gridSpan w:val="2"/>
          </w:tcPr>
          <w:p w14:paraId="5ED7C02F" w14:textId="7A8D781A"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{0320;0010}</w:t>
            </w:r>
          </w:p>
          <w:p w14:paraId="15F4A511"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656D366B"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Primärkapital – övergångsdefinition</w:t>
            </w:r>
          </w:p>
          <w:p w14:paraId="5041E493" w14:textId="342F59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Artiklarna 429.3 och 499.1 b i förordning (EU) nr 575/2013</w:t>
            </w:r>
          </w:p>
          <w:p w14:paraId="3270C368" w14:textId="285AC909" w:rsidR="00CB48CC" w:rsidRPr="000B66BC" w:rsidRDefault="00CB48CC" w:rsidP="00B70EBF">
            <w:pPr>
              <w:pStyle w:val="BodyText1"/>
              <w:spacing w:after="240" w:line="240" w:lineRule="auto"/>
              <w:rPr>
                <w:rFonts w:ascii="Times New Roman" w:hAnsi="Times New Roman"/>
                <w:bCs/>
                <w:sz w:val="24"/>
                <w:szCs w:val="24"/>
              </w:rPr>
            </w:pPr>
            <w:r>
              <w:rPr>
                <w:rFonts w:ascii="Times New Roman" w:hAnsi="Times New Roman"/>
                <w:sz w:val="24"/>
              </w:rPr>
              <w:lastRenderedPageBreak/>
              <w:t>Avser primärkapitalet beräknat i enlighet med artikel 25 i förordning (EU) nr 575/2013, med hänsyn tagen till det undantag som fastställs i del tio avdelning I kapitel 1, 2 och 4 i förordning (EU) nr 575/2013.</w:t>
            </w:r>
          </w:p>
        </w:tc>
      </w:tr>
      <w:tr w:rsidR="00CB48CC" w:rsidRPr="00E75BB8" w14:paraId="30D5612D" w14:textId="77777777" w:rsidTr="008979D2">
        <w:trPr>
          <w:trHeight w:val="304"/>
        </w:trPr>
        <w:tc>
          <w:tcPr>
            <w:tcW w:w="1555" w:type="dxa"/>
            <w:gridSpan w:val="2"/>
            <w:shd w:val="clear" w:color="auto" w:fill="D9D9D9" w:themeFill="background1" w:themeFillShade="D9"/>
          </w:tcPr>
          <w:p w14:paraId="3E09CDC7" w14:textId="4222548E"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rPr>
              <w:lastRenderedPageBreak/>
              <w:t>Rad och kolumn</w:t>
            </w:r>
          </w:p>
        </w:tc>
        <w:tc>
          <w:tcPr>
            <w:tcW w:w="7566" w:type="dxa"/>
            <w:shd w:val="clear" w:color="auto" w:fill="D9D9D9" w:themeFill="background1" w:themeFillShade="D9"/>
          </w:tcPr>
          <w:p w14:paraId="19280F08"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Bruttosoliditetsgrad</w:t>
            </w:r>
          </w:p>
        </w:tc>
      </w:tr>
      <w:tr w:rsidR="00CB48CC" w:rsidRPr="00E75BB8" w14:paraId="7E720607" w14:textId="77777777" w:rsidTr="008979D2">
        <w:trPr>
          <w:trHeight w:val="304"/>
        </w:trPr>
        <w:tc>
          <w:tcPr>
            <w:tcW w:w="1555" w:type="dxa"/>
            <w:gridSpan w:val="2"/>
          </w:tcPr>
          <w:p w14:paraId="04FDC8D4" w14:textId="563122E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{0330;0010}</w:t>
            </w:r>
          </w:p>
        </w:tc>
        <w:tc>
          <w:tcPr>
            <w:tcW w:w="7566" w:type="dxa"/>
          </w:tcPr>
          <w:p w14:paraId="170E1973"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Bruttosoliditet – med en fullständigt </w:t>
            </w:r>
            <w:proofErr w:type="spellStart"/>
            <w:r>
              <w:rPr>
                <w:rFonts w:ascii="Times New Roman" w:hAnsi="Times New Roman"/>
                <w:b/>
                <w:sz w:val="24"/>
              </w:rPr>
              <w:t>infasad</w:t>
            </w:r>
            <w:proofErr w:type="spellEnd"/>
            <w:r>
              <w:rPr>
                <w:rFonts w:ascii="Times New Roman" w:hAnsi="Times New Roman"/>
                <w:b/>
                <w:sz w:val="24"/>
              </w:rPr>
              <w:t xml:space="preserve"> definition av primärkapital</w:t>
            </w:r>
          </w:p>
          <w:p w14:paraId="14103416" w14:textId="3DDF1B9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Artiklarna 429.2 och 499.1 i förordning (EU) nr 575/2013</w:t>
            </w:r>
          </w:p>
          <w:p w14:paraId="13640073" w14:textId="33312D1E" w:rsidR="00CB48CC"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rPr>
              <w:t>Avser bruttosoliditetsgraden beräknad enligt punkt 2 i del II i denna bilaga.</w:t>
            </w:r>
          </w:p>
        </w:tc>
      </w:tr>
      <w:tr w:rsidR="00CB48CC" w:rsidRPr="00E75BB8" w14:paraId="58F7E1A1" w14:textId="77777777" w:rsidTr="008979D2">
        <w:trPr>
          <w:trHeight w:val="304"/>
        </w:trPr>
        <w:tc>
          <w:tcPr>
            <w:tcW w:w="1555" w:type="dxa"/>
            <w:gridSpan w:val="2"/>
          </w:tcPr>
          <w:p w14:paraId="775E3AF8" w14:textId="15CC0D81"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{0340;0010}</w:t>
            </w:r>
          </w:p>
        </w:tc>
        <w:tc>
          <w:tcPr>
            <w:tcW w:w="7566" w:type="dxa"/>
          </w:tcPr>
          <w:p w14:paraId="750922D1"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Bruttosoliditet – med en övergångsdefinition av primärkapital</w:t>
            </w:r>
          </w:p>
          <w:p w14:paraId="26098DFB" w14:textId="009CAE8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Artiklarna 429.2 och 499.1 i förordning (EU) nr 575/2013</w:t>
            </w:r>
          </w:p>
          <w:p w14:paraId="173B4CA4" w14:textId="15DFD6E5" w:rsidR="000A486B"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rPr>
              <w:t>Avser bruttosoliditetsgraden beräknad enligt punkt 3 i del II i denna bilaga.</w:t>
            </w:r>
          </w:p>
        </w:tc>
      </w:tr>
      <w:tr w:rsidR="00CB48CC" w:rsidRPr="00E75BB8" w14:paraId="39DF531E"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395C0A79" w:rsidR="00CB48CC" w:rsidRPr="000B66BC" w:rsidRDefault="00CB48CC" w:rsidP="000B66BC">
            <w:pPr>
              <w:pStyle w:val="BodyText1"/>
              <w:spacing w:after="240"/>
              <w:rPr>
                <w:rFonts w:ascii="Times New Roman" w:hAnsi="Times New Roman"/>
                <w:bCs/>
                <w:sz w:val="24"/>
                <w:szCs w:val="24"/>
              </w:rPr>
            </w:pPr>
            <w:r>
              <w:rPr>
                <w:rFonts w:ascii="Times New Roman" w:hAnsi="Times New Roman"/>
                <w:b/>
                <w:sz w:val="24"/>
              </w:rPr>
              <w:t>Rad och kolumn</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Krav: belopp</w:t>
            </w:r>
          </w:p>
        </w:tc>
      </w:tr>
      <w:tr w:rsidR="00E36E71" w:rsidRPr="00E75BB8" w14:paraId="49D3F11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78479BE" w14:textId="15CB4911"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{0350;0010}</w:t>
            </w:r>
          </w:p>
        </w:tc>
        <w:tc>
          <w:tcPr>
            <w:tcW w:w="7566" w:type="dxa"/>
            <w:tcBorders>
              <w:top w:val="single" w:sz="4" w:space="0" w:color="auto"/>
              <w:left w:val="single" w:sz="4" w:space="0" w:color="auto"/>
              <w:bottom w:val="single" w:sz="4" w:space="0" w:color="auto"/>
              <w:right w:val="single" w:sz="4" w:space="0" w:color="auto"/>
            </w:tcBorders>
            <w:vAlign w:val="center"/>
          </w:tcPr>
          <w:p w14:paraId="403F51A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Krav enligt andra pelaren (P2R) för att hantera risken för alltför låg bruttosoliditet</w:t>
            </w:r>
          </w:p>
          <w:p w14:paraId="52420558" w14:textId="1EE5977B" w:rsidR="00E36E71" w:rsidRPr="000B66BC" w:rsidRDefault="008B096D" w:rsidP="00B70EBF">
            <w:pPr>
              <w:pStyle w:val="BodyText1"/>
              <w:spacing w:after="240" w:line="240" w:lineRule="auto"/>
              <w:rPr>
                <w:rFonts w:ascii="Times New Roman" w:hAnsi="Times New Roman"/>
                <w:b/>
                <w:color w:val="auto"/>
                <w:sz w:val="24"/>
                <w:szCs w:val="24"/>
              </w:rPr>
            </w:pPr>
            <w:r>
              <w:rPr>
                <w:rFonts w:ascii="Times New Roman" w:hAnsi="Times New Roman"/>
                <w:sz w:val="24"/>
              </w:rPr>
              <w:t>Artikel 104 och 104a i direktiv 2013/36/EU. Ytterligare</w:t>
            </w:r>
            <w:r>
              <w:rPr>
                <w:rFonts w:ascii="Times New Roman" w:hAnsi="Times New Roman"/>
                <w:color w:val="auto"/>
                <w:sz w:val="24"/>
              </w:rPr>
              <w:t xml:space="preserve"> kapitalbas som krävs enligt den behöriga myndigheten för att hantera risker för alltför låg bruttosoliditet, i enlighet med artikel 104 i direktiv 2013/36/EU</w:t>
            </w:r>
          </w:p>
        </w:tc>
      </w:tr>
      <w:tr w:rsidR="00E36E71" w:rsidRPr="00E75BB8" w14:paraId="5E2FEE3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62D3C276" w14:textId="64F853EC"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{0360;0010}</w:t>
            </w:r>
          </w:p>
        </w:tc>
        <w:tc>
          <w:tcPr>
            <w:tcW w:w="7566" w:type="dxa"/>
            <w:tcBorders>
              <w:top w:val="single" w:sz="4" w:space="0" w:color="auto"/>
              <w:left w:val="single" w:sz="4" w:space="0" w:color="auto"/>
              <w:bottom w:val="single" w:sz="4" w:space="0" w:color="auto"/>
              <w:right w:val="single" w:sz="4" w:space="0" w:color="auto"/>
            </w:tcBorders>
            <w:vAlign w:val="center"/>
          </w:tcPr>
          <w:p w14:paraId="2A6845DE" w14:textId="659EEC38"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varav: som utgörs av kärnprimärkapital</w:t>
            </w:r>
          </w:p>
          <w:p w14:paraId="118609BA" w14:textId="66E6068C" w:rsidR="008E21B3"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Den del av P2R, enligt rad 0350, som den behöriga myndigheten kräver i form av kärnprimärkapital</w:t>
            </w:r>
          </w:p>
        </w:tc>
      </w:tr>
      <w:tr w:rsidR="00E36E71" w:rsidRPr="00E75BB8" w14:paraId="050776B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C554369" w14:textId="61BE47AC"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{0370;0010}</w:t>
            </w:r>
          </w:p>
        </w:tc>
        <w:tc>
          <w:tcPr>
            <w:tcW w:w="7566" w:type="dxa"/>
            <w:tcBorders>
              <w:top w:val="single" w:sz="4" w:space="0" w:color="auto"/>
              <w:left w:val="single" w:sz="4" w:space="0" w:color="auto"/>
              <w:bottom w:val="single" w:sz="4" w:space="0" w:color="auto"/>
              <w:right w:val="single" w:sz="4" w:space="0" w:color="auto"/>
            </w:tcBorders>
            <w:vAlign w:val="center"/>
          </w:tcPr>
          <w:p w14:paraId="60019DE4" w14:textId="4DD14E6A" w:rsidR="008E21B3"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Bruttosoliditetsbuffert för globala systemviktiga institut</w:t>
            </w:r>
          </w:p>
          <w:p w14:paraId="2DF708A7" w14:textId="4743D9F9" w:rsidR="008E21B3" w:rsidRPr="000B66BC" w:rsidRDefault="008E21B3" w:rsidP="000B66BC">
            <w:pPr>
              <w:pStyle w:val="BodyText1"/>
              <w:spacing w:after="240" w:line="240" w:lineRule="auto"/>
              <w:rPr>
                <w:rFonts w:ascii="Times New Roman" w:hAnsi="Times New Roman"/>
                <w:b/>
                <w:bCs/>
                <w:color w:val="auto"/>
                <w:sz w:val="24"/>
                <w:szCs w:val="24"/>
              </w:rPr>
            </w:pPr>
            <w:r>
              <w:rPr>
                <w:rFonts w:ascii="Times New Roman" w:hAnsi="Times New Roman"/>
                <w:sz w:val="24"/>
              </w:rPr>
              <w:t>Artikel 92.1a i förordning (EU) nr 575/2013</w:t>
            </w:r>
          </w:p>
          <w:p w14:paraId="04DDCD79" w14:textId="110DEF14" w:rsidR="008E21B3" w:rsidRPr="000B66BC" w:rsidRDefault="00B70EBF" w:rsidP="000B66BC">
            <w:pPr>
              <w:pStyle w:val="BodyText1"/>
              <w:spacing w:after="240"/>
              <w:rPr>
                <w:rFonts w:ascii="Times New Roman" w:hAnsi="Times New Roman"/>
                <w:bCs/>
                <w:color w:val="auto"/>
                <w:sz w:val="24"/>
                <w:szCs w:val="24"/>
              </w:rPr>
            </w:pPr>
            <w:r>
              <w:rPr>
                <w:rFonts w:ascii="Times New Roman" w:hAnsi="Times New Roman"/>
                <w:sz w:val="24"/>
              </w:rPr>
              <w:t>Globala systemviktiga institut ska rapportera värdet av det tillägg till bruttosoliditetsgraden för globala systemviktiga institut som fastställs i enlighet med artikel 92.1a i förordning (EU) nr 575/2013.</w:t>
            </w:r>
          </w:p>
          <w:p w14:paraId="10B82F9E" w14:textId="5E998451" w:rsidR="00E36E71" w:rsidRPr="000B66BC" w:rsidRDefault="008E21B3" w:rsidP="000B66BC">
            <w:pPr>
              <w:pStyle w:val="BodyText1"/>
              <w:spacing w:after="240"/>
              <w:rPr>
                <w:rFonts w:ascii="Times New Roman" w:hAnsi="Times New Roman"/>
                <w:b/>
                <w:color w:val="auto"/>
                <w:sz w:val="24"/>
                <w:szCs w:val="24"/>
              </w:rPr>
            </w:pPr>
            <w:r>
              <w:rPr>
                <w:rFonts w:ascii="Times New Roman" w:hAnsi="Times New Roman"/>
                <w:sz w:val="24"/>
              </w:rPr>
              <w:t>Globala systemviktiga institut ska rapportera detta belopp från och med den dag då bufferten börjar tillämpas i enlighet med förordning (EU) nr 575/2013.</w:t>
            </w:r>
          </w:p>
        </w:tc>
      </w:tr>
      <w:tr w:rsidR="00E36E71" w:rsidRPr="00E75BB8" w14:paraId="756B6F5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A626523" w14:textId="5BD07284"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{0380;0010}</w:t>
            </w:r>
          </w:p>
        </w:tc>
        <w:tc>
          <w:tcPr>
            <w:tcW w:w="7566" w:type="dxa"/>
            <w:tcBorders>
              <w:top w:val="single" w:sz="4" w:space="0" w:color="auto"/>
              <w:left w:val="single" w:sz="4" w:space="0" w:color="auto"/>
              <w:bottom w:val="single" w:sz="4" w:space="0" w:color="auto"/>
              <w:right w:val="single" w:sz="4" w:space="0" w:color="auto"/>
            </w:tcBorders>
            <w:vAlign w:val="center"/>
          </w:tcPr>
          <w:p w14:paraId="7BCE9F97"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Riktlinjer enligt andra pelaren (P2G) för att hantera risker för alltför låg bruttosoliditet</w:t>
            </w:r>
          </w:p>
          <w:p w14:paraId="0B3B1A45" w14:textId="68F57FF2" w:rsidR="00E36E71"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lastRenderedPageBreak/>
              <w:t>Artikel 104b i direktiv 2013/36/EU. Ytterligare kapitalbaskrav som meddelats av den behöriga myndigheten för att hantera risker för alltför låg bruttosoliditet, i enlighet med artikel 104b i direktiv 2013/36/EU</w:t>
            </w:r>
          </w:p>
        </w:tc>
      </w:tr>
      <w:tr w:rsidR="00E36E71" w:rsidRPr="00E75BB8" w14:paraId="5FB7C0D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59BC8EE" w14:textId="66C61468"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lastRenderedPageBreak/>
              <w:t>{0390;0010}</w:t>
            </w:r>
          </w:p>
        </w:tc>
        <w:tc>
          <w:tcPr>
            <w:tcW w:w="7566" w:type="dxa"/>
            <w:tcBorders>
              <w:top w:val="single" w:sz="4" w:space="0" w:color="auto"/>
              <w:left w:val="single" w:sz="4" w:space="0" w:color="auto"/>
              <w:bottom w:val="single" w:sz="4" w:space="0" w:color="auto"/>
              <w:right w:val="single" w:sz="4" w:space="0" w:color="auto"/>
            </w:tcBorders>
            <w:vAlign w:val="center"/>
          </w:tcPr>
          <w:p w14:paraId="34782868"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varav: som utgörs av kärnprimärkapital</w:t>
            </w:r>
          </w:p>
          <w:p w14:paraId="3318F690" w14:textId="590855DB"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Den del av P2G, enligt rad 0380, som den behöriga myndigheten kräver i form av kärnprimärkapital</w:t>
            </w:r>
          </w:p>
        </w:tc>
      </w:tr>
      <w:tr w:rsidR="00E36E71" w:rsidRPr="00E75BB8" w14:paraId="65AB50BB"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76DB95F" w14:textId="0B1F3FB1"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{0400;0010}</w:t>
            </w:r>
          </w:p>
        </w:tc>
        <w:tc>
          <w:tcPr>
            <w:tcW w:w="7566" w:type="dxa"/>
            <w:tcBorders>
              <w:top w:val="single" w:sz="4" w:space="0" w:color="auto"/>
              <w:left w:val="single" w:sz="4" w:space="0" w:color="auto"/>
              <w:bottom w:val="single" w:sz="4" w:space="0" w:color="auto"/>
              <w:right w:val="single" w:sz="4" w:space="0" w:color="auto"/>
            </w:tcBorders>
            <w:vAlign w:val="center"/>
          </w:tcPr>
          <w:p w14:paraId="726461BE" w14:textId="2AF2CC4F" w:rsidR="00FB31D6" w:rsidRPr="000B66BC" w:rsidRDefault="00E36E71"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rPr>
              <w:t>varav: som utgörs av primärkapital</w:t>
            </w:r>
          </w:p>
          <w:p w14:paraId="69A1223C" w14:textId="5FB61961"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Den del av P2G, som avses i rad 0380, som den behöriga myndigheten kräver i form av primärkapital</w:t>
            </w:r>
          </w:p>
        </w:tc>
      </w:tr>
      <w:tr w:rsidR="00E36E71" w:rsidRPr="00E75BB8" w14:paraId="0EAD8BE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480AB7BD" w:rsidR="00E36E71" w:rsidRPr="000B66BC" w:rsidRDefault="00E36E71" w:rsidP="000B66BC">
            <w:pPr>
              <w:pStyle w:val="BodyText1"/>
              <w:spacing w:after="240"/>
              <w:rPr>
                <w:rFonts w:ascii="Times New Roman" w:hAnsi="Times New Roman"/>
                <w:b/>
                <w:bCs/>
                <w:sz w:val="24"/>
                <w:szCs w:val="24"/>
              </w:rPr>
            </w:pPr>
            <w:r>
              <w:rPr>
                <w:rFonts w:ascii="Times New Roman" w:hAnsi="Times New Roman"/>
                <w:b/>
                <w:sz w:val="24"/>
              </w:rPr>
              <w:t>Rad och kolumn</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sz w:val="24"/>
              </w:rPr>
              <w:t>Krav: kvoter</w:t>
            </w:r>
          </w:p>
        </w:tc>
      </w:tr>
      <w:tr w:rsidR="00CB48CC" w:rsidRPr="00E75BB8" w14:paraId="297BFBE3"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2DD133B" w14:textId="17E35BDE"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{0410;0010}</w:t>
            </w:r>
          </w:p>
        </w:tc>
        <w:tc>
          <w:tcPr>
            <w:tcW w:w="7566" w:type="dxa"/>
            <w:tcBorders>
              <w:top w:val="single" w:sz="4" w:space="0" w:color="auto"/>
              <w:left w:val="single" w:sz="4" w:space="0" w:color="auto"/>
              <w:bottom w:val="single" w:sz="4" w:space="0" w:color="auto"/>
              <w:right w:val="single" w:sz="4" w:space="0" w:color="auto"/>
            </w:tcBorders>
            <w:vAlign w:val="center"/>
          </w:tcPr>
          <w:p w14:paraId="7CC2B3A5" w14:textId="5E37AED7" w:rsidR="00CB48CC" w:rsidRPr="000B66BC" w:rsidRDefault="00E36E71"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 xml:space="preserve">Bruttosoliditetskrav enligt första pelaren </w:t>
            </w:r>
          </w:p>
          <w:p w14:paraId="75955E40" w14:textId="43A3F922" w:rsidR="00B70EBF" w:rsidRDefault="006F5F1F" w:rsidP="00B70EBF">
            <w:pPr>
              <w:pStyle w:val="BodyText1"/>
              <w:spacing w:after="240" w:line="240" w:lineRule="auto"/>
              <w:rPr>
                <w:rFonts w:ascii="Times New Roman" w:hAnsi="Times New Roman"/>
                <w:bCs/>
                <w:color w:val="auto"/>
                <w:sz w:val="24"/>
                <w:szCs w:val="24"/>
              </w:rPr>
            </w:pPr>
            <w:r>
              <w:rPr>
                <w:rFonts w:ascii="Times New Roman" w:hAnsi="Times New Roman"/>
                <w:sz w:val="24"/>
              </w:rPr>
              <w:t xml:space="preserve">Artiklarna 92.1 d, 429a.7 och 429a.1 n i förordning (EU) nr 575/2013. </w:t>
            </w:r>
            <w:r>
              <w:rPr>
                <w:rFonts w:ascii="Times New Roman" w:hAnsi="Times New Roman"/>
                <w:color w:val="auto"/>
                <w:sz w:val="24"/>
              </w:rPr>
              <w:t>Den bruttosoliditetsgrad som krävs för att hantera risker för alltför låg bruttosoliditet, i enlighet med artikel 92.1 d i förordning (EU) nr 575/2013</w:t>
            </w:r>
          </w:p>
          <w:p w14:paraId="2ACA2F0E" w14:textId="04995476" w:rsidR="00CB48CC" w:rsidRPr="000B66BC" w:rsidRDefault="00FB31D6" w:rsidP="00B70EBF">
            <w:pPr>
              <w:pStyle w:val="BodyText1"/>
              <w:spacing w:after="240" w:line="240" w:lineRule="auto"/>
              <w:rPr>
                <w:rFonts w:ascii="Times New Roman" w:hAnsi="Times New Roman"/>
                <w:b/>
                <w:bCs/>
                <w:color w:val="auto"/>
                <w:sz w:val="24"/>
                <w:szCs w:val="24"/>
              </w:rPr>
            </w:pPr>
            <w:r>
              <w:rPr>
                <w:rFonts w:ascii="Times New Roman" w:hAnsi="Times New Roman"/>
                <w:sz w:val="24"/>
              </w:rPr>
              <w:t>Institut som utesluter exponeringar mot institutets centralbank enligt artikel 429a.1 n ska rapportera kravet på justerad bruttosoliditetsgrad i enlighet med artikel 429a.7 i förordning (EU) nr 575/2013.</w:t>
            </w:r>
          </w:p>
        </w:tc>
      </w:tr>
      <w:tr w:rsidR="00E36E71" w:rsidRPr="00E75BB8" w14:paraId="18E64D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47AF81A" w14:textId="0848022F"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{0420;0010}</w:t>
            </w:r>
          </w:p>
        </w:tc>
        <w:tc>
          <w:tcPr>
            <w:tcW w:w="7566" w:type="dxa"/>
            <w:tcBorders>
              <w:top w:val="single" w:sz="4" w:space="0" w:color="auto"/>
              <w:left w:val="single" w:sz="4" w:space="0" w:color="auto"/>
              <w:bottom w:val="single" w:sz="4" w:space="0" w:color="auto"/>
              <w:right w:val="single" w:sz="4" w:space="0" w:color="auto"/>
            </w:tcBorders>
            <w:vAlign w:val="center"/>
          </w:tcPr>
          <w:p w14:paraId="4C8CBF9B"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Totalt ÖUP-bruttosoliditetskrav (TSLRR)</w:t>
            </w:r>
          </w:p>
          <w:p w14:paraId="58E6C4BD" w14:textId="1E3D269F" w:rsidR="00FB31D6"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Artiklarna 104 och 104a i direktiv 2013/36/EU</w:t>
            </w:r>
          </w:p>
          <w:p w14:paraId="010497B2" w14:textId="77777777" w:rsidR="00FB31D6" w:rsidRPr="000B66BC" w:rsidRDefault="00FB31D6" w:rsidP="000B66BC">
            <w:pPr>
              <w:pStyle w:val="BodyText1"/>
              <w:spacing w:after="240" w:line="240" w:lineRule="auto"/>
              <w:rPr>
                <w:rFonts w:ascii="Times New Roman" w:hAnsi="Times New Roman"/>
                <w:bCs/>
                <w:sz w:val="24"/>
                <w:szCs w:val="24"/>
              </w:rPr>
            </w:pPr>
            <w:r>
              <w:rPr>
                <w:rFonts w:ascii="Times New Roman" w:hAnsi="Times New Roman"/>
                <w:sz w:val="24"/>
              </w:rPr>
              <w:t>Summan av i och ii enligt följande:</w:t>
            </w:r>
          </w:p>
          <w:p w14:paraId="2BCF2D92" w14:textId="4D8870D5" w:rsidR="00FB31D6" w:rsidRPr="000B66BC" w:rsidRDefault="00FB31D6" w:rsidP="000B66BC">
            <w:pPr>
              <w:pStyle w:val="BodyText1"/>
              <w:numPr>
                <w:ilvl w:val="0"/>
                <w:numId w:val="27"/>
              </w:numPr>
              <w:spacing w:after="240" w:line="240" w:lineRule="auto"/>
              <w:rPr>
                <w:rFonts w:ascii="Times New Roman" w:hAnsi="Times New Roman"/>
                <w:bCs/>
                <w:sz w:val="24"/>
                <w:szCs w:val="24"/>
              </w:rPr>
            </w:pPr>
            <w:r>
              <w:rPr>
                <w:rFonts w:ascii="Times New Roman" w:hAnsi="Times New Roman"/>
                <w:sz w:val="24"/>
              </w:rPr>
              <w:t>Det krav på bruttosoliditetsgrad enligt första pelaren som rapporteras på rad 0410.</w:t>
            </w:r>
          </w:p>
          <w:p w14:paraId="4613F532" w14:textId="311FA7CC" w:rsidR="00FB31D6" w:rsidRPr="000B66BC" w:rsidRDefault="00FB31D6" w:rsidP="000B66BC">
            <w:pPr>
              <w:pStyle w:val="BodyText1"/>
              <w:numPr>
                <w:ilvl w:val="0"/>
                <w:numId w:val="27"/>
              </w:numPr>
              <w:spacing w:after="240" w:line="240" w:lineRule="auto"/>
              <w:rPr>
                <w:rFonts w:ascii="Times New Roman" w:hAnsi="Times New Roman"/>
                <w:b/>
                <w:color w:val="auto"/>
                <w:sz w:val="24"/>
                <w:szCs w:val="24"/>
              </w:rPr>
            </w:pPr>
            <w:r>
              <w:rPr>
                <w:rFonts w:ascii="Times New Roman" w:hAnsi="Times New Roman"/>
                <w:sz w:val="24"/>
              </w:rPr>
              <w:t xml:space="preserve">Den </w:t>
            </w:r>
            <w:r>
              <w:rPr>
                <w:rFonts w:ascii="Times New Roman" w:hAnsi="Times New Roman"/>
                <w:color w:val="auto"/>
                <w:sz w:val="24"/>
              </w:rPr>
              <w:t>ytterligare kapitalbas som krävs enligt den behöriga myndigheten (P2R) för att hantera risker för alltför låg bruttosoliditet, i enlighet med artikel 104 i direktiv 2013/36/EU.</w:t>
            </w:r>
          </w:p>
          <w:p w14:paraId="4F1A1488" w14:textId="77777777" w:rsidR="00B70EBF" w:rsidRDefault="00780634" w:rsidP="00B70EBF">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Instituten ska beräkna led ii genom att dela värdet i {0350;0010} med värdet i </w:t>
            </w:r>
            <w:r>
              <w:rPr>
                <w:rFonts w:ascii="Times New Roman" w:hAnsi="Times New Roman"/>
                <w:sz w:val="24"/>
              </w:rPr>
              <w:t>{0300;0010}.</w:t>
            </w:r>
            <w:r>
              <w:rPr>
                <w:rFonts w:ascii="Times New Roman" w:hAnsi="Times New Roman"/>
                <w:color w:val="auto"/>
                <w:sz w:val="24"/>
              </w:rPr>
              <w:t xml:space="preserve"> </w:t>
            </w:r>
          </w:p>
          <w:p w14:paraId="128BD13A" w14:textId="3F8F4801" w:rsidR="00FB31D6"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Om den behöriga myndigheten inte har meddelat några ytterligare kapitalbaskrav ska endast led i rapporteras.</w:t>
            </w:r>
          </w:p>
        </w:tc>
      </w:tr>
      <w:tr w:rsidR="00E36E71" w:rsidRPr="00E75BB8" w14:paraId="0482CAD5"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56493FBD" w14:textId="065D7838"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{0430;0010}</w:t>
            </w:r>
          </w:p>
        </w:tc>
        <w:tc>
          <w:tcPr>
            <w:tcW w:w="7566" w:type="dxa"/>
            <w:tcBorders>
              <w:top w:val="single" w:sz="4" w:space="0" w:color="auto"/>
              <w:left w:val="single" w:sz="4" w:space="0" w:color="auto"/>
              <w:bottom w:val="single" w:sz="4" w:space="0" w:color="auto"/>
              <w:right w:val="single" w:sz="4" w:space="0" w:color="auto"/>
            </w:tcBorders>
            <w:vAlign w:val="center"/>
          </w:tcPr>
          <w:p w14:paraId="531F150B"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TSLRR: som utgörs av kärnprimärkapital</w:t>
            </w:r>
          </w:p>
          <w:p w14:paraId="7473B81A" w14:textId="78011C71" w:rsidR="00780634" w:rsidRPr="000B66BC" w:rsidRDefault="00A0709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Den del av den ytterligare kapitalbasen, som avses i led ii i rad 0420, som den behöriga myndigheten kräver i form av kärnprimärkapital.</w:t>
            </w:r>
          </w:p>
          <w:p w14:paraId="17146566" w14:textId="4E043C22" w:rsidR="00E36E71" w:rsidRPr="000B66BC" w:rsidRDefault="00780634"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rPr>
              <w:lastRenderedPageBreak/>
              <w:t xml:space="preserve">Instituten ska beräkna detta värde genom att dela värdet i {0360;0010} med värdet i </w:t>
            </w:r>
            <w:r>
              <w:rPr>
                <w:rFonts w:ascii="Times New Roman" w:hAnsi="Times New Roman"/>
                <w:sz w:val="24"/>
              </w:rPr>
              <w:t>{0300;0010}.</w:t>
            </w:r>
          </w:p>
        </w:tc>
      </w:tr>
      <w:tr w:rsidR="00E36E71" w:rsidRPr="00E75BB8" w14:paraId="769316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1E4C5FF" w14:textId="7241185F"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lastRenderedPageBreak/>
              <w:t>{0440;0010}</w:t>
            </w:r>
          </w:p>
        </w:tc>
        <w:tc>
          <w:tcPr>
            <w:tcW w:w="7566" w:type="dxa"/>
            <w:tcBorders>
              <w:top w:val="single" w:sz="4" w:space="0" w:color="auto"/>
              <w:left w:val="single" w:sz="4" w:space="0" w:color="auto"/>
              <w:bottom w:val="single" w:sz="4" w:space="0" w:color="auto"/>
              <w:right w:val="single" w:sz="4" w:space="0" w:color="auto"/>
            </w:tcBorders>
            <w:vAlign w:val="center"/>
          </w:tcPr>
          <w:p w14:paraId="408C666F"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Samlat bruttosoliditetskrav (OLRR)</w:t>
            </w:r>
          </w:p>
          <w:p w14:paraId="42BE8CD3" w14:textId="0949F4CF"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Artikel 92.1a i förordning (EU) nr 575/2013</w:t>
            </w:r>
          </w:p>
          <w:p w14:paraId="1BB646F8" w14:textId="77777777"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color w:val="auto"/>
                <w:sz w:val="24"/>
              </w:rPr>
              <w:t>Summan av i och ii enligt följande:</w:t>
            </w:r>
          </w:p>
          <w:p w14:paraId="3ACD46ED" w14:textId="4650EB7F"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color w:val="auto"/>
                <w:sz w:val="24"/>
              </w:rPr>
              <w:t>Det TSLRR som avses i rad 0420.</w:t>
            </w:r>
          </w:p>
          <w:p w14:paraId="7026B9BA" w14:textId="754156AE"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sz w:val="24"/>
              </w:rPr>
              <w:t>Bruttosoliditetsbufferten för globala systemviktiga institut i enlighet med artikel 92.1a i förordning (EU) nr 575/2013, uttryckt som en procentandel av den totala bruttosoliditetsexponeringen</w:t>
            </w:r>
            <w:r>
              <w:rPr>
                <w:rFonts w:ascii="Times New Roman" w:hAnsi="Times New Roman"/>
                <w:b/>
                <w:sz w:val="24"/>
              </w:rPr>
              <w:t>.</w:t>
            </w:r>
          </w:p>
          <w:p w14:paraId="2D72E728" w14:textId="77777777" w:rsidR="00B70EBF" w:rsidRDefault="00B70EBF" w:rsidP="000B66BC">
            <w:pPr>
              <w:pStyle w:val="BodyText1"/>
              <w:spacing w:after="240"/>
              <w:rPr>
                <w:rFonts w:ascii="Times New Roman" w:hAnsi="Times New Roman"/>
                <w:bCs/>
                <w:sz w:val="24"/>
                <w:szCs w:val="24"/>
              </w:rPr>
            </w:pPr>
            <w:r>
              <w:rPr>
                <w:rFonts w:ascii="Times New Roman" w:hAnsi="Times New Roman"/>
                <w:color w:val="auto"/>
                <w:sz w:val="24"/>
              </w:rPr>
              <w:t xml:space="preserve">Instituten ska beräkna led ii genom att dela värdet i {0370;0010} med värdet i </w:t>
            </w:r>
            <w:r>
              <w:rPr>
                <w:rFonts w:ascii="Times New Roman" w:hAnsi="Times New Roman"/>
                <w:sz w:val="24"/>
              </w:rPr>
              <w:t>{0300;0010}.</w:t>
            </w:r>
          </w:p>
          <w:p w14:paraId="341458F5" w14:textId="66A734DD"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color w:val="auto"/>
                <w:sz w:val="24"/>
              </w:rPr>
              <w:t>Globala systemviktiga institut ska endast beakta led ii från och med den dag då bufferten börjar tillämpas i enlighet med förordning (EU) nr 575/2013.</w:t>
            </w:r>
          </w:p>
          <w:p w14:paraId="0AEE6486" w14:textId="71BAF399" w:rsidR="00136A9C" w:rsidRPr="000B66BC" w:rsidRDefault="00136A9C"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Om inget tillägg för globala systemviktiga institut är tillämpligt ska endast led i rapporteras.</w:t>
            </w:r>
          </w:p>
        </w:tc>
      </w:tr>
      <w:tr w:rsidR="00E36E71" w:rsidRPr="00E75BB8" w14:paraId="700506B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3DA25A6" w14:textId="7BC3EB01" w:rsidR="00E36E71" w:rsidRPr="000B66BC" w:rsidRDefault="00A0709E" w:rsidP="000B66BC">
            <w:pPr>
              <w:pStyle w:val="BodyText1"/>
              <w:spacing w:after="240"/>
              <w:rPr>
                <w:rFonts w:ascii="Times New Roman" w:hAnsi="Times New Roman"/>
                <w:bCs/>
                <w:sz w:val="24"/>
                <w:szCs w:val="24"/>
              </w:rPr>
            </w:pPr>
            <w:r>
              <w:rPr>
                <w:rFonts w:ascii="Times New Roman" w:hAnsi="Times New Roman"/>
                <w:sz w:val="24"/>
              </w:rPr>
              <w:t>{0450;0010}</w:t>
            </w:r>
          </w:p>
        </w:tc>
        <w:tc>
          <w:tcPr>
            <w:tcW w:w="7566" w:type="dxa"/>
            <w:tcBorders>
              <w:top w:val="single" w:sz="4" w:space="0" w:color="auto"/>
              <w:left w:val="single" w:sz="4" w:space="0" w:color="auto"/>
              <w:bottom w:val="single" w:sz="4" w:space="0" w:color="auto"/>
              <w:right w:val="single" w:sz="4" w:space="0" w:color="auto"/>
            </w:tcBorders>
            <w:vAlign w:val="center"/>
          </w:tcPr>
          <w:p w14:paraId="39440973" w14:textId="44BB98C0" w:rsidR="00136A9C" w:rsidRPr="000B66BC" w:rsidRDefault="00E36E71" w:rsidP="000B66BC">
            <w:pPr>
              <w:pStyle w:val="BodyText1"/>
              <w:spacing w:after="240" w:line="240" w:lineRule="auto"/>
              <w:rPr>
                <w:rFonts w:ascii="Times New Roman" w:hAnsi="Times New Roman"/>
                <w:bCs/>
                <w:sz w:val="24"/>
                <w:szCs w:val="24"/>
              </w:rPr>
            </w:pPr>
            <w:r>
              <w:rPr>
                <w:rFonts w:ascii="Times New Roman" w:hAnsi="Times New Roman"/>
                <w:b/>
                <w:color w:val="auto"/>
                <w:sz w:val="24"/>
              </w:rPr>
              <w:t>Relation – samlat bruttosoliditetskrav (OLRR) och riktlinjer enligt andra pelaren (P2G)</w:t>
            </w:r>
          </w:p>
          <w:p w14:paraId="022B6350" w14:textId="7060CF19"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Artikel 104b i direktiv 2013/36/EU</w:t>
            </w:r>
          </w:p>
          <w:p w14:paraId="358F5440" w14:textId="77777777"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Summan av i och ii enligt följande:</w:t>
            </w:r>
          </w:p>
          <w:p w14:paraId="4E42EACA" w14:textId="261B723C" w:rsidR="00136A9C" w:rsidRPr="000B66BC" w:rsidRDefault="00136A9C" w:rsidP="000B66BC">
            <w:pPr>
              <w:pStyle w:val="BodyText1"/>
              <w:numPr>
                <w:ilvl w:val="0"/>
                <w:numId w:val="29"/>
              </w:numPr>
              <w:spacing w:after="240" w:line="240" w:lineRule="auto"/>
              <w:rPr>
                <w:rFonts w:ascii="Times New Roman" w:hAnsi="Times New Roman"/>
                <w:color w:val="auto"/>
                <w:sz w:val="24"/>
                <w:szCs w:val="24"/>
              </w:rPr>
            </w:pPr>
            <w:r>
              <w:rPr>
                <w:rFonts w:ascii="Times New Roman" w:hAnsi="Times New Roman"/>
                <w:color w:val="auto"/>
                <w:sz w:val="24"/>
              </w:rPr>
              <w:t>OLRR som avses i rad 0440.</w:t>
            </w:r>
          </w:p>
          <w:p w14:paraId="51B081D7" w14:textId="1328C32A" w:rsidR="00136A9C" w:rsidRPr="000B66BC" w:rsidRDefault="00136A9C" w:rsidP="000B66BC">
            <w:pPr>
              <w:pStyle w:val="BodyText1"/>
              <w:numPr>
                <w:ilvl w:val="0"/>
                <w:numId w:val="29"/>
              </w:numPr>
              <w:spacing w:after="240" w:line="240" w:lineRule="auto"/>
              <w:rPr>
                <w:rFonts w:ascii="Times New Roman" w:hAnsi="Times New Roman"/>
                <w:b/>
                <w:bCs/>
                <w:color w:val="auto"/>
                <w:sz w:val="24"/>
                <w:szCs w:val="24"/>
              </w:rPr>
            </w:pPr>
            <w:r>
              <w:rPr>
                <w:rFonts w:ascii="Times New Roman" w:hAnsi="Times New Roman"/>
                <w:color w:val="auto"/>
                <w:sz w:val="24"/>
              </w:rPr>
              <w:t>Ytterligare kapitalbaskrav som meddelats av den behöriga myndigheten för att hantera risker för alltför låg bruttosoliditet, i enlighet med artikel 104b i direktiv 2013/36/EU, uttryckt som procent av den totala bruttosoliditetsexponeringen.</w:t>
            </w:r>
          </w:p>
          <w:p w14:paraId="1C4745E4" w14:textId="77777777" w:rsidR="00B70EBF" w:rsidRDefault="00780634" w:rsidP="00B70EBF">
            <w:pPr>
              <w:pStyle w:val="BodyText1"/>
              <w:spacing w:after="240" w:line="240" w:lineRule="auto"/>
              <w:rPr>
                <w:rFonts w:ascii="Times New Roman" w:hAnsi="Times New Roman"/>
                <w:bCs/>
                <w:color w:val="auto"/>
                <w:sz w:val="24"/>
                <w:szCs w:val="24"/>
              </w:rPr>
            </w:pPr>
            <w:r>
              <w:rPr>
                <w:rFonts w:ascii="Times New Roman" w:hAnsi="Times New Roman"/>
                <w:color w:val="auto"/>
                <w:sz w:val="24"/>
              </w:rPr>
              <w:t xml:space="preserve">Instituten ska beräkna led ii genom att dela värdet i {0380;0010} med värdet i </w:t>
            </w:r>
            <w:r>
              <w:rPr>
                <w:rFonts w:ascii="Times New Roman" w:hAnsi="Times New Roman"/>
                <w:sz w:val="24"/>
              </w:rPr>
              <w:t>{0300;0010}.</w:t>
            </w:r>
            <w:r>
              <w:rPr>
                <w:rFonts w:ascii="Times New Roman" w:hAnsi="Times New Roman"/>
                <w:color w:val="auto"/>
                <w:sz w:val="24"/>
              </w:rPr>
              <w:t xml:space="preserve"> </w:t>
            </w:r>
          </w:p>
          <w:p w14:paraId="6E55E37C" w14:textId="5108C444" w:rsidR="00136A9C"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Om den behöriga myndigheten inte har meddelat P2G ska endast led i rapporteras.</w:t>
            </w:r>
          </w:p>
        </w:tc>
      </w:tr>
      <w:tr w:rsidR="00E36E71" w:rsidRPr="00E75BB8" w14:paraId="680EF64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BDF0E92" w14:textId="6C47A0CC" w:rsidR="00E36E71" w:rsidRPr="000B66BC" w:rsidRDefault="009573B2" w:rsidP="000B66BC">
            <w:pPr>
              <w:pStyle w:val="BodyText1"/>
              <w:spacing w:after="240"/>
              <w:rPr>
                <w:rFonts w:ascii="Times New Roman" w:hAnsi="Times New Roman"/>
                <w:bCs/>
                <w:sz w:val="24"/>
                <w:szCs w:val="24"/>
              </w:rPr>
            </w:pPr>
            <w:r>
              <w:rPr>
                <w:rFonts w:ascii="Times New Roman" w:hAnsi="Times New Roman"/>
                <w:sz w:val="24"/>
              </w:rPr>
              <w:t>{0460;0010}</w:t>
            </w:r>
          </w:p>
        </w:tc>
        <w:tc>
          <w:tcPr>
            <w:tcW w:w="7566" w:type="dxa"/>
            <w:tcBorders>
              <w:top w:val="single" w:sz="4" w:space="0" w:color="auto"/>
              <w:left w:val="single" w:sz="4" w:space="0" w:color="auto"/>
              <w:bottom w:val="single" w:sz="4" w:space="0" w:color="auto"/>
              <w:right w:val="single" w:sz="4" w:space="0" w:color="auto"/>
            </w:tcBorders>
            <w:vAlign w:val="center"/>
          </w:tcPr>
          <w:p w14:paraId="073EAF2A" w14:textId="3A51D2AA"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OLRR och P2G: som utgörs av kärnprimärkapital</w:t>
            </w:r>
          </w:p>
          <w:p w14:paraId="76E51CBF" w14:textId="77777777"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Summan av i och ii enligt följande:</w:t>
            </w:r>
          </w:p>
          <w:p w14:paraId="4E8CC957" w14:textId="6092A4C3"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rPr>
              <w:lastRenderedPageBreak/>
              <w:t>Den del av den ytterligare kapitalbasen som den behöriga myndigheten kräver i form av kärnprimärkapital, som avses i rad 0430.</w:t>
            </w:r>
          </w:p>
          <w:p w14:paraId="611A5895" w14:textId="6EB99D1C"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rPr>
              <w:t>Den del av P2G-relationen, som avses i led ii i rad 0450, som enligt meddelande från den behöriga myndigheten krävs i form av kärnprimärkapital.</w:t>
            </w:r>
          </w:p>
          <w:p w14:paraId="30A327FA" w14:textId="77777777" w:rsidR="003E3C45" w:rsidRDefault="00780634" w:rsidP="003E3C45">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Instituten ska beräkna led ii genom att dela värdet i {0390;0010} med värdet i </w:t>
            </w:r>
            <w:r>
              <w:rPr>
                <w:rFonts w:ascii="Times New Roman" w:hAnsi="Times New Roman"/>
                <w:sz w:val="24"/>
              </w:rPr>
              <w:t>{0300;0010}.</w:t>
            </w:r>
            <w:r>
              <w:rPr>
                <w:rFonts w:ascii="Times New Roman" w:hAnsi="Times New Roman"/>
                <w:color w:val="auto"/>
                <w:sz w:val="24"/>
              </w:rPr>
              <w:t xml:space="preserve"> </w:t>
            </w:r>
          </w:p>
          <w:p w14:paraId="32685844" w14:textId="531CB8FD" w:rsidR="00E36E71" w:rsidRPr="000B66BC" w:rsidRDefault="003E3C45"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rPr>
              <w:t>Om den behöriga myndigheten inte har meddelat P2G ska endast led i rapporteras.</w:t>
            </w:r>
          </w:p>
        </w:tc>
      </w:tr>
      <w:tr w:rsidR="00E36E71" w:rsidRPr="00E75BB8" w14:paraId="5CCACDA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109F561" w14:textId="5D20E85A" w:rsidR="00E36E71" w:rsidRPr="000B66BC" w:rsidRDefault="00A0709E" w:rsidP="000B66BC">
            <w:pPr>
              <w:pStyle w:val="BodyText1"/>
              <w:spacing w:after="240"/>
              <w:rPr>
                <w:rFonts w:ascii="Times New Roman" w:hAnsi="Times New Roman"/>
                <w:bCs/>
                <w:sz w:val="24"/>
                <w:szCs w:val="24"/>
              </w:rPr>
            </w:pPr>
            <w:r>
              <w:rPr>
                <w:rFonts w:ascii="Times New Roman" w:hAnsi="Times New Roman"/>
                <w:sz w:val="24"/>
              </w:rPr>
              <w:lastRenderedPageBreak/>
              <w:t>{0470;0010}</w:t>
            </w:r>
          </w:p>
        </w:tc>
        <w:tc>
          <w:tcPr>
            <w:tcW w:w="7566" w:type="dxa"/>
            <w:tcBorders>
              <w:top w:val="single" w:sz="4" w:space="0" w:color="auto"/>
              <w:left w:val="single" w:sz="4" w:space="0" w:color="auto"/>
              <w:bottom w:val="single" w:sz="4" w:space="0" w:color="auto"/>
              <w:right w:val="single" w:sz="4" w:space="0" w:color="auto"/>
            </w:tcBorders>
            <w:vAlign w:val="center"/>
          </w:tcPr>
          <w:p w14:paraId="161754F2"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OLRR och P2G: som utgörs av primärkapital</w:t>
            </w:r>
          </w:p>
          <w:p w14:paraId="7E7156A9" w14:textId="787E9B54"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Summan av i, ii och iii enligt följande:</w:t>
            </w:r>
          </w:p>
          <w:p w14:paraId="5D168708" w14:textId="116662AF" w:rsidR="00136A9C" w:rsidRPr="000B66BC" w:rsidRDefault="00843D9B"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rPr>
              <w:t>Totalt ÖUP-bruttosoliditetskrav som avses i rad 0420.</w:t>
            </w:r>
          </w:p>
          <w:p w14:paraId="44471EA4" w14:textId="37A3F29A" w:rsidR="00843D9B" w:rsidRPr="000B66BC" w:rsidRDefault="00843D9B" w:rsidP="000B66BC">
            <w:pPr>
              <w:pStyle w:val="ListParagraph"/>
              <w:numPr>
                <w:ilvl w:val="0"/>
                <w:numId w:val="32"/>
              </w:numPr>
              <w:spacing w:after="240"/>
              <w:rPr>
                <w:rFonts w:ascii="Times New Roman" w:hAnsi="Times New Roman"/>
                <w:sz w:val="24"/>
              </w:rPr>
            </w:pPr>
            <w:r>
              <w:rPr>
                <w:rFonts w:ascii="Times New Roman" w:hAnsi="Times New Roman"/>
                <w:sz w:val="24"/>
              </w:rPr>
              <w:t>Bruttosoliditetsbufferten för globala systemviktiga institut i enlighet med artikel 92.1a i förordning (EU) nr 575/2013, uttryckt som en procentandel av den totala bruttosoliditetsexponeringen.</w:t>
            </w:r>
          </w:p>
          <w:p w14:paraId="776F4028" w14:textId="5132AE58" w:rsidR="00136A9C" w:rsidRPr="000B66BC" w:rsidRDefault="00136A9C"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rPr>
              <w:t>Den del av P2G-relationen, som avses i led ii i rad 0450, som den behöriga myndigheten kräver i form av primärkapital.</w:t>
            </w:r>
          </w:p>
          <w:p w14:paraId="26F19755" w14:textId="77777777" w:rsidR="003E3C45" w:rsidRPr="000B66BC" w:rsidRDefault="003E3C45" w:rsidP="003E3C45">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Instituten ska beräkna led ii genom att dela värdet i {0370;0010} med värdet i </w:t>
            </w:r>
            <w:r>
              <w:rPr>
                <w:rFonts w:ascii="Times New Roman" w:hAnsi="Times New Roman"/>
                <w:sz w:val="24"/>
              </w:rPr>
              <w:t>{0300;0010}.</w:t>
            </w:r>
          </w:p>
          <w:p w14:paraId="2313052B" w14:textId="77777777" w:rsidR="003E3C45" w:rsidRDefault="003E3C45" w:rsidP="003E3C45">
            <w:pPr>
              <w:pStyle w:val="BodyText1"/>
              <w:spacing w:after="240" w:line="240" w:lineRule="auto"/>
              <w:rPr>
                <w:rFonts w:ascii="Times New Roman" w:hAnsi="Times New Roman"/>
                <w:bCs/>
                <w:sz w:val="24"/>
                <w:szCs w:val="24"/>
              </w:rPr>
            </w:pPr>
            <w:r>
              <w:rPr>
                <w:rFonts w:ascii="Times New Roman" w:hAnsi="Times New Roman"/>
                <w:color w:val="auto"/>
                <w:sz w:val="24"/>
              </w:rPr>
              <w:t xml:space="preserve">Instituten ska beräkna led iii genom att dela värdet i {0400;0010} med värdet i </w:t>
            </w:r>
            <w:r>
              <w:rPr>
                <w:rFonts w:ascii="Times New Roman" w:hAnsi="Times New Roman"/>
                <w:sz w:val="24"/>
              </w:rPr>
              <w:t>{0300;0010}.</w:t>
            </w:r>
          </w:p>
          <w:p w14:paraId="6BF7BD0F" w14:textId="49D247A3" w:rsidR="00843D9B" w:rsidRPr="000B66BC" w:rsidRDefault="00843D9B" w:rsidP="003E3C45">
            <w:pPr>
              <w:pStyle w:val="BodyText1"/>
              <w:spacing w:after="240" w:line="240" w:lineRule="auto"/>
              <w:rPr>
                <w:rFonts w:ascii="Times New Roman" w:hAnsi="Times New Roman"/>
                <w:bCs/>
                <w:color w:val="auto"/>
                <w:sz w:val="24"/>
                <w:szCs w:val="24"/>
              </w:rPr>
            </w:pPr>
            <w:r>
              <w:rPr>
                <w:rFonts w:ascii="Times New Roman" w:hAnsi="Times New Roman"/>
                <w:color w:val="auto"/>
                <w:sz w:val="24"/>
              </w:rPr>
              <w:t>Om inget tillägg för globala systemviktiga institut är tillämpligt ska endast leden i och iii rapporteras.</w:t>
            </w:r>
          </w:p>
          <w:p w14:paraId="784A7DD8" w14:textId="6852D82B" w:rsidR="00E36E71" w:rsidRPr="000B66BC" w:rsidRDefault="00136A9C"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rPr>
              <w:t>Om den behöriga myndigheten inte har meddelat P2G ska endast leden i och ii rapporteras.</w:t>
            </w:r>
          </w:p>
        </w:tc>
      </w:tr>
      <w:tr w:rsidR="00E524FC" w:rsidRPr="00E75BB8" w14:paraId="601424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1021D484" w:rsidR="00E524FC" w:rsidRPr="000B66BC" w:rsidRDefault="00E524FC" w:rsidP="000B66BC">
            <w:pPr>
              <w:pStyle w:val="BodyText1"/>
              <w:spacing w:after="240"/>
              <w:rPr>
                <w:rFonts w:ascii="Times New Roman" w:hAnsi="Times New Roman"/>
                <w:bCs/>
                <w:sz w:val="24"/>
                <w:szCs w:val="24"/>
              </w:rPr>
            </w:pPr>
            <w:r>
              <w:rPr>
                <w:rFonts w:ascii="Times New Roman" w:hAnsi="Times New Roman"/>
                <w:b/>
                <w:sz w:val="24"/>
              </w:rPr>
              <w:t>Rad och kolumn</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Memorandumposter</w:t>
            </w:r>
          </w:p>
        </w:tc>
      </w:tr>
      <w:tr w:rsidR="00E524FC" w:rsidRPr="00E75BB8" w14:paraId="66E51847"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FD03E43" w14:textId="3C27850E" w:rsidR="00E524FC" w:rsidRPr="000B66BC" w:rsidRDefault="00E524FC" w:rsidP="000B66BC">
            <w:pPr>
              <w:pStyle w:val="BodyText1"/>
              <w:spacing w:after="240"/>
              <w:rPr>
                <w:rFonts w:ascii="Times New Roman" w:hAnsi="Times New Roman"/>
                <w:bCs/>
                <w:sz w:val="24"/>
                <w:szCs w:val="24"/>
              </w:rPr>
            </w:pPr>
          </w:p>
        </w:tc>
        <w:tc>
          <w:tcPr>
            <w:tcW w:w="7566" w:type="dxa"/>
            <w:tcBorders>
              <w:top w:val="single" w:sz="4" w:space="0" w:color="auto"/>
              <w:left w:val="single" w:sz="4" w:space="0" w:color="auto"/>
              <w:bottom w:val="single" w:sz="4" w:space="0" w:color="auto"/>
              <w:right w:val="single" w:sz="4" w:space="0" w:color="auto"/>
            </w:tcBorders>
            <w:vAlign w:val="center"/>
          </w:tcPr>
          <w:p w14:paraId="7576BAB1" w14:textId="7D3F954D" w:rsidR="00E524FC" w:rsidRPr="000B66BC" w:rsidRDefault="009339A2" w:rsidP="000B66BC">
            <w:pPr>
              <w:pStyle w:val="BodyText1"/>
              <w:spacing w:after="240" w:line="240" w:lineRule="auto"/>
              <w:rPr>
                <w:rFonts w:ascii="Times New Roman" w:hAnsi="Times New Roman"/>
                <w:b/>
                <w:color w:val="auto"/>
                <w:sz w:val="24"/>
                <w:szCs w:val="24"/>
              </w:rPr>
            </w:pPr>
            <w:r>
              <w:rPr>
                <w:rFonts w:ascii="Times New Roman" w:hAnsi="Times New Roman"/>
                <w:sz w:val="24"/>
              </w:rPr>
              <w:t xml:space="preserve"> Förordning (EU) nr 575/2013</w:t>
            </w:r>
            <w:r>
              <w:rPr>
                <w:rFonts w:ascii="Times New Roman" w:hAnsi="Times New Roman"/>
                <w:color w:val="auto"/>
                <w:sz w:val="24"/>
              </w:rPr>
              <w:t xml:space="preserve"> </w:t>
            </w:r>
          </w:p>
        </w:tc>
      </w:tr>
      <w:tr w:rsidR="00E524FC" w:rsidRPr="00E75BB8" w14:paraId="12DDA6F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DE13EEB" w14:textId="7EBFE2F4" w:rsidR="00E524FC" w:rsidRPr="000B66BC" w:rsidRDefault="00E524FC" w:rsidP="000B66BC">
            <w:pPr>
              <w:pStyle w:val="BodyText1"/>
              <w:spacing w:after="240"/>
              <w:rPr>
                <w:rFonts w:ascii="Times New Roman" w:hAnsi="Times New Roman"/>
                <w:bCs/>
                <w:sz w:val="24"/>
                <w:szCs w:val="24"/>
              </w:rPr>
            </w:pPr>
            <w:r>
              <w:rPr>
                <w:rFonts w:ascii="Times New Roman" w:hAnsi="Times New Roman"/>
                <w:sz w:val="24"/>
              </w:rPr>
              <w:t>{0490;0010}</w:t>
            </w:r>
          </w:p>
        </w:tc>
        <w:tc>
          <w:tcPr>
            <w:tcW w:w="7566" w:type="dxa"/>
            <w:tcBorders>
              <w:top w:val="single" w:sz="4" w:space="0" w:color="auto"/>
              <w:left w:val="single" w:sz="4" w:space="0" w:color="auto"/>
              <w:bottom w:val="single" w:sz="4" w:space="0" w:color="auto"/>
              <w:right w:val="single" w:sz="4" w:space="0" w:color="auto"/>
            </w:tcBorders>
            <w:vAlign w:val="center"/>
          </w:tcPr>
          <w:p w14:paraId="4537C97D" w14:textId="7B6565CA"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Bruttosoliditetsgrad som om den tillfälliga behandlingen av orealiserade vinster och förluster som värderas till verkligt värde via övrigt totalresultat inte har tillämpats</w:t>
            </w:r>
          </w:p>
          <w:p w14:paraId="22FC70A7" w14:textId="0B4FA8B5"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Artikel 468.5 </w:t>
            </w:r>
            <w:r>
              <w:rPr>
                <w:rFonts w:ascii="Times New Roman" w:hAnsi="Times New Roman"/>
                <w:sz w:val="24"/>
              </w:rPr>
              <w:t>i förordning (EU) nr 575/2013</w:t>
            </w:r>
          </w:p>
          <w:p w14:paraId="787A9CC8" w14:textId="0A07D371"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sz w:val="24"/>
              </w:rPr>
              <w:lastRenderedPageBreak/>
              <w:t>Institut som har beslutat att tillämpa den tillfälliga behandling som anges i artikel 468.1 i förordning (EU) nr 575/2013 ska rapportera den bruttosoliditetsgrad de skulle ha om de inte tillämpade den behandlingen.</w:t>
            </w:r>
          </w:p>
        </w:tc>
      </w:tr>
    </w:tbl>
    <w:p w14:paraId="6B40D8E2" w14:textId="77777777" w:rsidR="00AE2798" w:rsidRPr="000B66BC" w:rsidRDefault="00AE2798" w:rsidP="000B66BC">
      <w:pPr>
        <w:pStyle w:val="BodyText1"/>
        <w:spacing w:after="240"/>
        <w:rPr>
          <w:rFonts w:ascii="Times New Roman" w:hAnsi="Times New Roman"/>
          <w:sz w:val="24"/>
          <w:szCs w:val="24"/>
        </w:rPr>
      </w:pPr>
    </w:p>
    <w:p w14:paraId="794CE395" w14:textId="173F43D2" w:rsidR="00700DA6" w:rsidRPr="000B66BC" w:rsidRDefault="005F4574" w:rsidP="000B66BC">
      <w:pPr>
        <w:pStyle w:val="BodyText1"/>
        <w:spacing w:after="240"/>
        <w:ind w:left="357" w:hanging="357"/>
        <w:outlineLvl w:val="1"/>
        <w:rPr>
          <w:rFonts w:ascii="Times New Roman" w:hAnsi="Times New Roman"/>
          <w:b/>
          <w:sz w:val="24"/>
          <w:szCs w:val="24"/>
        </w:rPr>
      </w:pPr>
      <w:bookmarkStart w:id="53" w:name="_Toc351048507"/>
      <w:bookmarkStart w:id="54" w:name="_Toc359414286"/>
      <w:bookmarkStart w:id="55" w:name="_Toc423089071"/>
      <w:bookmarkStart w:id="56" w:name="_Toc188450104"/>
      <w:r>
        <w:rPr>
          <w:rFonts w:ascii="Times New Roman" w:hAnsi="Times New Roman"/>
          <w:b/>
          <w:sz w:val="24"/>
        </w:rPr>
        <w:t>4.</w:t>
      </w:r>
      <w:r>
        <w:rPr>
          <w:rFonts w:ascii="Times New Roman" w:hAnsi="Times New Roman"/>
          <w:b/>
          <w:sz w:val="24"/>
        </w:rPr>
        <w:tab/>
        <w:t>C 40.00 – Alternativ behandling av exponeringsmått</w:t>
      </w:r>
      <w:bookmarkEnd w:id="50"/>
      <w:bookmarkEnd w:id="53"/>
      <w:bookmarkEnd w:id="54"/>
      <w:r>
        <w:rPr>
          <w:rFonts w:ascii="Times New Roman" w:hAnsi="Times New Roman"/>
          <w:b/>
          <w:sz w:val="24"/>
        </w:rPr>
        <w:t xml:space="preserve"> (LR1)</w:t>
      </w:r>
      <w:bookmarkEnd w:id="55"/>
      <w:bookmarkEnd w:id="56"/>
    </w:p>
    <w:p w14:paraId="0FB337CA" w14:textId="47825928"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20.</w:t>
      </w:r>
      <w:r>
        <w:rPr>
          <w:rFonts w:ascii="Times New Roman" w:hAnsi="Times New Roman"/>
          <w:sz w:val="24"/>
        </w:rPr>
        <w:tab/>
        <w:t xml:space="preserve">I denna del av rapporteringen samlas uppgifter in om alternativ behandling av derivat, transaktioner för värdepappersfinansiering, poster utanför balansräkningen, undantagna offentliga investeringar och undantagna exponeringar mot subventionerade lån. </w:t>
      </w:r>
    </w:p>
    <w:p w14:paraId="0801E40E" w14:textId="6947458E"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21.</w:t>
      </w:r>
      <w:r>
        <w:rPr>
          <w:rFonts w:ascii="Times New Roman" w:hAnsi="Times New Roman"/>
          <w:sz w:val="24"/>
        </w:rPr>
        <w:tab/>
        <w:t xml:space="preserve">Institut ska fastställa de ”redovisade balansräkningsvärdena” i LR1 utifrån de tillämpliga redovisningsreglerna i enlighet med artikel 4.1.77 i förordning (EU) nr 575/2013. Med ”redovisat värde utan nettning eller annan kreditriskreducering” avses det redovisade balansräkningsvärdet utan hänsyn tagen till några effekter av nettning eller annan kreditriskreducering. </w:t>
      </w:r>
    </w:p>
    <w:p w14:paraId="6A1F4290" w14:textId="4A3B06AA" w:rsidR="005556DC"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22.</w:t>
      </w:r>
      <w:r>
        <w:rPr>
          <w:rFonts w:ascii="Times New Roman" w:hAnsi="Times New Roman"/>
          <w:sz w:val="24"/>
        </w:rPr>
        <w:tab/>
        <w:t xml:space="preserve">Instituten ska rapportera LR1-poster som om posterna med negativt tecken i </w:t>
      </w:r>
      <w:proofErr w:type="spellStart"/>
      <w:r>
        <w:rPr>
          <w:rFonts w:ascii="Times New Roman" w:hAnsi="Times New Roman"/>
          <w:sz w:val="24"/>
        </w:rPr>
        <w:t>LRCalc</w:t>
      </w:r>
      <w:proofErr w:type="spellEnd"/>
      <w:r>
        <w:rPr>
          <w:rFonts w:ascii="Times New Roman" w:hAnsi="Times New Roman"/>
          <w:sz w:val="24"/>
        </w:rPr>
        <w:t>-mallen (</w:t>
      </w:r>
      <w:proofErr w:type="gramStart"/>
      <w:r>
        <w:rPr>
          <w:rFonts w:ascii="Times New Roman" w:hAnsi="Times New Roman"/>
          <w:sz w:val="24"/>
        </w:rPr>
        <w:t>t.ex.</w:t>
      </w:r>
      <w:proofErr w:type="gramEnd"/>
      <w:r>
        <w:rPr>
          <w:rFonts w:ascii="Times New Roman" w:hAnsi="Times New Roman"/>
          <w:sz w:val="24"/>
        </w:rPr>
        <w:t xml:space="preserve"> undantag/avdrag) i enlighet med teckenkonventionen i del I punkt 9 i denna bilaga, med undantag för raderna {0270;0010} {0280;0010}, inte var tillämpliga.</w:t>
      </w:r>
    </w:p>
    <w:p w14:paraId="3B5DA19A" w14:textId="314820A5" w:rsidR="00201643" w:rsidRPr="000B66BC" w:rsidRDefault="00201643"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23.</w:t>
      </w:r>
      <w:r>
        <w:rPr>
          <w:rFonts w:ascii="Times New Roman" w:hAnsi="Times New Roman"/>
          <w:sz w:val="24"/>
        </w:rPr>
        <w:tab/>
        <w:t>Totala tillgångar ({r</w:t>
      </w:r>
      <w:proofErr w:type="gramStart"/>
      <w:r>
        <w:rPr>
          <w:rFonts w:ascii="Times New Roman" w:hAnsi="Times New Roman"/>
          <w:sz w:val="24"/>
        </w:rPr>
        <w:t>0410;c</w:t>
      </w:r>
      <w:proofErr w:type="gramEnd"/>
      <w:r>
        <w:rPr>
          <w:rFonts w:ascii="Times New Roman" w:hAnsi="Times New Roman"/>
          <w:sz w:val="24"/>
        </w:rPr>
        <w:t>0010}) i mall 40.00 ska endast rapporteras</w:t>
      </w:r>
    </w:p>
    <w:p w14:paraId="120D67B7" w14:textId="7350FC6D"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rPr>
        <w:t xml:space="preserve">vartannat år av stora institut som antingen är globala systemviktiga institut eller har emitterat värdepapper som är upptagna till handel på en reglerad marknad, </w:t>
      </w:r>
    </w:p>
    <w:p w14:paraId="275097FF" w14:textId="4F3F0B8E"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rPr>
        <w:t>varje år av andra stora institut än globala systemviktiga institut, som inte är börsnoterade,</w:t>
      </w:r>
    </w:p>
    <w:p w14:paraId="59E3D42C" w14:textId="4C664B3D"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rPr>
        <w:t xml:space="preserve">varje år av andra institut än stora institut och små och icke-komplexa institut, som har emitterat värdepapper som är upptagna till handel på en reglerad marknad.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E75BB8" w14:paraId="26421155" w14:textId="77777777" w:rsidTr="00C7202A">
        <w:tc>
          <w:tcPr>
            <w:tcW w:w="1418" w:type="dxa"/>
            <w:shd w:val="clear" w:color="auto" w:fill="D9D9D9" w:themeFill="background1" w:themeFillShade="D9"/>
          </w:tcPr>
          <w:p w14:paraId="08FB450D" w14:textId="524E5AB8"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rPr>
              <w:t>Rad och kolumn</w:t>
            </w:r>
          </w:p>
        </w:tc>
        <w:tc>
          <w:tcPr>
            <w:tcW w:w="7620" w:type="dxa"/>
            <w:shd w:val="clear" w:color="auto" w:fill="D9D9D9" w:themeFill="background1" w:themeFillShade="D9"/>
          </w:tcPr>
          <w:p w14:paraId="2A94B720"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Rättsliga hänvisningar och instruktioner</w:t>
            </w:r>
          </w:p>
        </w:tc>
      </w:tr>
      <w:tr w:rsidR="00F4754B" w:rsidRPr="00E75BB8" w14:paraId="361F248A" w14:textId="77777777" w:rsidTr="00776650">
        <w:tc>
          <w:tcPr>
            <w:tcW w:w="1418" w:type="dxa"/>
          </w:tcPr>
          <w:p w14:paraId="4F9FA107" w14:textId="57BE6A8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{0010;0010}</w:t>
            </w:r>
          </w:p>
        </w:tc>
        <w:tc>
          <w:tcPr>
            <w:tcW w:w="7620" w:type="dxa"/>
          </w:tcPr>
          <w:p w14:paraId="39F15765" w14:textId="77777777" w:rsidR="00F4754B" w:rsidRPr="000B66BC" w:rsidRDefault="00F4754B" w:rsidP="000B66BC">
            <w:pPr>
              <w:pStyle w:val="BodyText1"/>
              <w:spacing w:after="240" w:line="240" w:lineRule="auto"/>
              <w:rPr>
                <w:rFonts w:ascii="Times New Roman" w:hAnsi="Times New Roman"/>
                <w:bCs/>
                <w:sz w:val="24"/>
                <w:szCs w:val="24"/>
                <w:u w:val="single"/>
              </w:rPr>
            </w:pPr>
            <w:r>
              <w:rPr>
                <w:rFonts w:ascii="Times New Roman" w:hAnsi="Times New Roman"/>
                <w:b/>
                <w:sz w:val="24"/>
              </w:rPr>
              <w:t>Derivat – redovisat balansräkningsvärde</w:t>
            </w:r>
          </w:p>
          <w:p w14:paraId="7F9C9C25" w14:textId="151D2509" w:rsidR="000A6437"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Detta ska vara summan av {0020;010}, {0050;0010} och {0060;0010}.</w:t>
            </w:r>
          </w:p>
        </w:tc>
      </w:tr>
      <w:tr w:rsidR="00F4754B" w:rsidRPr="00E75BB8" w14:paraId="1D231FFA" w14:textId="77777777" w:rsidTr="00776650">
        <w:tc>
          <w:tcPr>
            <w:tcW w:w="1418" w:type="dxa"/>
          </w:tcPr>
          <w:p w14:paraId="63C98797" w14:textId="06C6C9DC"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{0010;0020}</w:t>
            </w:r>
          </w:p>
        </w:tc>
        <w:tc>
          <w:tcPr>
            <w:tcW w:w="7620" w:type="dxa"/>
          </w:tcPr>
          <w:p w14:paraId="4563944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Derivat – redovisat värde utan nettning eller annan kreditriskreducering</w:t>
            </w:r>
          </w:p>
          <w:p w14:paraId="7E68FF9D" w14:textId="3AAE9DFF" w:rsidR="00FF3AC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Detta ska vara summan av {0020;0020}, {0050;0020} och {0060;0020}.</w:t>
            </w:r>
          </w:p>
        </w:tc>
      </w:tr>
      <w:tr w:rsidR="00F4754B" w:rsidRPr="00E75BB8" w14:paraId="56F668DB" w14:textId="77777777" w:rsidTr="00776650">
        <w:tc>
          <w:tcPr>
            <w:tcW w:w="1418" w:type="dxa"/>
          </w:tcPr>
          <w:p w14:paraId="678E69B3" w14:textId="4CB76640"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{0010;0070}</w:t>
            </w:r>
          </w:p>
        </w:tc>
        <w:tc>
          <w:tcPr>
            <w:tcW w:w="7620" w:type="dxa"/>
          </w:tcPr>
          <w:p w14:paraId="5D79D47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Derivat – teoretiskt belopp</w:t>
            </w:r>
          </w:p>
          <w:p w14:paraId="2AECBC09" w14:textId="2F33E455"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Detta ska vara summan av {0020;0070}, {0050;0070} och {0060;0070}.</w:t>
            </w:r>
          </w:p>
        </w:tc>
      </w:tr>
      <w:tr w:rsidR="00F4754B" w:rsidRPr="00E75BB8" w14:paraId="6B45BB27" w14:textId="77777777" w:rsidTr="00776650">
        <w:tc>
          <w:tcPr>
            <w:tcW w:w="1418" w:type="dxa"/>
          </w:tcPr>
          <w:p w14:paraId="46216D41" w14:textId="7412E93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{0020;0010}</w:t>
            </w:r>
          </w:p>
        </w:tc>
        <w:tc>
          <w:tcPr>
            <w:tcW w:w="7620" w:type="dxa"/>
          </w:tcPr>
          <w:p w14:paraId="0B692C5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Kreditderivat (sålt skydd) – redovisat balansräkningsvärde</w:t>
            </w:r>
          </w:p>
          <w:p w14:paraId="0232A08C" w14:textId="557B887D"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sz w:val="24"/>
              </w:rPr>
              <w:t>Artikel 4.1.77 i förordning (EU) nr 575/2013 Det redovisade balansräkningsvärdet enligt de tillämpliga redovisningsreglerna för kreditderivat om institutet säljer kreditskydd till en motpart och kontraktet ska redovisas som en tillgång i balansräkningen</w:t>
            </w:r>
          </w:p>
        </w:tc>
      </w:tr>
      <w:tr w:rsidR="00F4754B" w:rsidRPr="00E75BB8" w14:paraId="78089643" w14:textId="77777777" w:rsidTr="00776650">
        <w:tc>
          <w:tcPr>
            <w:tcW w:w="1418" w:type="dxa"/>
          </w:tcPr>
          <w:p w14:paraId="6D29AC05" w14:textId="21326B21"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{0020;0020}</w:t>
            </w:r>
          </w:p>
        </w:tc>
        <w:tc>
          <w:tcPr>
            <w:tcW w:w="7620" w:type="dxa"/>
          </w:tcPr>
          <w:p w14:paraId="47C4979D" w14:textId="1C2E617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Kreditderivat (sålt skydd) – redovisat värde utan nettning eller annan kreditriskreducering</w:t>
            </w:r>
          </w:p>
          <w:p w14:paraId="379F5EE7" w14:textId="7F30105A"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sz w:val="24"/>
              </w:rPr>
              <w:t>Artikel 4.1.77 i förordning (EU) nr 575/2013 Det redovisade balansräkningsvärdet enligt de tillämpliga redovisningsreglerna för kreditderivat om institutet säljer kreditskydd till en motpart och kontraktet redovisas som en tillgång i balansräkningen, utan effekter avseende tillsyn, redovisningsrelaterad nettning eller annan kreditriskreducering (dvs. eventuella effekter avseende redovisningsrelaterad nettning eller kreditriskreducering som har påverkat det redovisade värdet ska återföras)</w:t>
            </w:r>
          </w:p>
        </w:tc>
      </w:tr>
      <w:tr w:rsidR="00F4754B" w:rsidRPr="00E75BB8" w14:paraId="6F14FFAF" w14:textId="77777777" w:rsidTr="00776650">
        <w:tc>
          <w:tcPr>
            <w:tcW w:w="1418" w:type="dxa"/>
          </w:tcPr>
          <w:p w14:paraId="7C797A14" w14:textId="4C6AAC2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{0020;0070}</w:t>
            </w:r>
          </w:p>
        </w:tc>
        <w:tc>
          <w:tcPr>
            <w:tcW w:w="7620" w:type="dxa"/>
          </w:tcPr>
          <w:p w14:paraId="5B4D474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Kreditderivat (sålt skydd) – teoretiskt belopp</w:t>
            </w:r>
          </w:p>
          <w:p w14:paraId="79F96141" w14:textId="45B474E1"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Detta ska vara summan av cellerna {0030;0070} och {0040;0070}</w:t>
            </w:r>
          </w:p>
        </w:tc>
      </w:tr>
      <w:tr w:rsidR="00410E47" w:rsidRPr="00E75BB8" w14:paraId="3223F811" w14:textId="77777777" w:rsidTr="00776650">
        <w:tc>
          <w:tcPr>
            <w:tcW w:w="1418" w:type="dxa"/>
          </w:tcPr>
          <w:p w14:paraId="13A1CD32" w14:textId="73B22E89"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{0020;0075}</w:t>
            </w:r>
          </w:p>
        </w:tc>
        <w:tc>
          <w:tcPr>
            <w:tcW w:w="7620" w:type="dxa"/>
          </w:tcPr>
          <w:p w14:paraId="4149AAF1"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Kreditderivat (sålt skydd) – begränsat teoretiskt belopp</w:t>
            </w:r>
          </w:p>
          <w:p w14:paraId="0C4AF19E" w14:textId="54E04166" w:rsidR="00410E47" w:rsidRPr="000B66BC" w:rsidRDefault="003E3C45"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 teoretiska beloppet för kreditderivat (sålt skydd) som i {0020; 0070} efter en minskning med eventuella negativa förändringar i verkliga värden som har medräknats i primärkapitalet med hänsyn till det utfärdade kreditderivatet.</w:t>
            </w:r>
          </w:p>
        </w:tc>
      </w:tr>
      <w:tr w:rsidR="00F56B61" w:rsidRPr="00E75BB8"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0B66BC" w:rsidRDefault="00F56B61" w:rsidP="000B66BC">
            <w:pPr>
              <w:pStyle w:val="BodyText1"/>
              <w:spacing w:after="240"/>
              <w:rPr>
                <w:rFonts w:ascii="Times New Roman" w:hAnsi="Times New Roman"/>
                <w:bCs/>
                <w:sz w:val="24"/>
                <w:szCs w:val="24"/>
              </w:rPr>
            </w:pPr>
            <w:r>
              <w:rPr>
                <w:rFonts w:ascii="Times New Roman" w:hAnsi="Times New Roman"/>
                <w:sz w:val="24"/>
              </w:rPr>
              <w:t>{0030;0070}</w:t>
            </w:r>
          </w:p>
        </w:tc>
        <w:tc>
          <w:tcPr>
            <w:tcW w:w="7620" w:type="dxa"/>
            <w:tcBorders>
              <w:top w:val="single" w:sz="4" w:space="0" w:color="auto"/>
              <w:left w:val="single" w:sz="4" w:space="0" w:color="auto"/>
              <w:bottom w:val="single" w:sz="4" w:space="0" w:color="auto"/>
              <w:right w:val="single" w:sz="4" w:space="0" w:color="auto"/>
            </w:tcBorders>
          </w:tcPr>
          <w:p w14:paraId="15FC1D07" w14:textId="36F4ADB6"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
                <w:sz w:val="24"/>
              </w:rPr>
              <w:t>Kreditderivat (sålt skydd) som är föremål för en slutavräkningsklausul – teoretiskt belopp</w:t>
            </w:r>
          </w:p>
          <w:p w14:paraId="018BEF1F" w14:textId="22289BB3" w:rsidR="00F56B61"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rPr>
              <w:t>Institut ska rapportera det teoretiska beloppet för kreditderivat om institutet säljer kreditskydd till en motpart som omfattas av en slutavräkningsklausul.</w:t>
            </w:r>
          </w:p>
          <w:p w14:paraId="5A116C41" w14:textId="488FF38F" w:rsidR="00F56B61" w:rsidRPr="000B66BC" w:rsidRDefault="00F56B61" w:rsidP="000B66BC">
            <w:pPr>
              <w:pStyle w:val="BodyText1"/>
              <w:spacing w:after="240" w:line="240" w:lineRule="auto"/>
              <w:rPr>
                <w:rFonts w:ascii="Times New Roman" w:hAnsi="Times New Roman"/>
                <w:bCs/>
                <w:sz w:val="24"/>
                <w:szCs w:val="24"/>
              </w:rPr>
            </w:pPr>
            <w:r>
              <w:rPr>
                <w:rFonts w:ascii="Times New Roman" w:hAnsi="Times New Roman"/>
                <w:sz w:val="24"/>
              </w:rPr>
              <w:t>En slutavräkningsklausul ska definieras som en klausul som ger den icke-fallerande parten rätt att i god tid avbryta och slutavräkna alla transaktioner inom ramen för kontraktet i händelse av ett obestånd, exempelvis om motparten skulle gå i konkurs eller bli insolvent.</w:t>
            </w:r>
          </w:p>
          <w:p w14:paraId="7931AC41" w14:textId="557F8233"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sz w:val="24"/>
              </w:rPr>
              <w:t xml:space="preserve">Institut ska ta hänsyn till alla kreditderivat och inte bara de som överförts till </w:t>
            </w:r>
            <w:proofErr w:type="spellStart"/>
            <w:r>
              <w:rPr>
                <w:rFonts w:ascii="Times New Roman" w:hAnsi="Times New Roman"/>
                <w:sz w:val="24"/>
              </w:rPr>
              <w:t>handelslagret</w:t>
            </w:r>
            <w:proofErr w:type="spellEnd"/>
            <w:r>
              <w:rPr>
                <w:rFonts w:ascii="Times New Roman" w:hAnsi="Times New Roman"/>
                <w:sz w:val="24"/>
              </w:rPr>
              <w:t>.</w:t>
            </w:r>
          </w:p>
        </w:tc>
      </w:tr>
      <w:tr w:rsidR="00410E47" w:rsidRPr="00E75BB8" w14:paraId="758B12D8" w14:textId="77777777" w:rsidTr="00F56B61">
        <w:tc>
          <w:tcPr>
            <w:tcW w:w="1418" w:type="dxa"/>
          </w:tcPr>
          <w:p w14:paraId="25EB07E0" w14:textId="122C486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{0040;0070}</w:t>
            </w:r>
          </w:p>
        </w:tc>
        <w:tc>
          <w:tcPr>
            <w:tcW w:w="7620" w:type="dxa"/>
          </w:tcPr>
          <w:p w14:paraId="6050FB9E" w14:textId="17B2C2C9"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Kreditderivat (sålt skydd) som inte är föremål för en slutavräkningsklausul – teoretiskt belopp</w:t>
            </w:r>
          </w:p>
          <w:p w14:paraId="1DD1CCDE" w14:textId="0B30797B" w:rsidR="00410E47" w:rsidRPr="000B66BC" w:rsidRDefault="003E3C45" w:rsidP="000B66BC">
            <w:pPr>
              <w:pStyle w:val="BodyText1"/>
              <w:spacing w:after="240" w:line="240" w:lineRule="auto"/>
              <w:rPr>
                <w:rFonts w:ascii="Times New Roman" w:hAnsi="Times New Roman"/>
                <w:sz w:val="24"/>
                <w:szCs w:val="24"/>
              </w:rPr>
            </w:pPr>
            <w:r>
              <w:rPr>
                <w:rFonts w:ascii="Times New Roman" w:hAnsi="Times New Roman"/>
                <w:sz w:val="24"/>
              </w:rPr>
              <w:t>Institut ska rapportera det teoretiska beloppet för kreditderivat om institutet säljer kreditskydd till en motpart som inte omfattas av en slutavräkningsklausul.</w:t>
            </w:r>
          </w:p>
          <w:p w14:paraId="35F31007" w14:textId="3FE74DD8" w:rsidR="00410E47" w:rsidRPr="000B66BC" w:rsidRDefault="00410E47" w:rsidP="000B66BC">
            <w:pPr>
              <w:pStyle w:val="BodyText1"/>
              <w:spacing w:after="240" w:line="240" w:lineRule="auto"/>
              <w:rPr>
                <w:rFonts w:ascii="Times New Roman" w:hAnsi="Times New Roman"/>
                <w:sz w:val="24"/>
                <w:szCs w:val="24"/>
              </w:rPr>
            </w:pPr>
            <w:r>
              <w:rPr>
                <w:rFonts w:ascii="Times New Roman" w:hAnsi="Times New Roman"/>
                <w:sz w:val="24"/>
              </w:rPr>
              <w:lastRenderedPageBreak/>
              <w:t>En slutavräkningsklausul ska definieras som en klausul som ger den icke-fallerande parten rätt att i god tid avbryta och slutavräkna alla transaktioner inom ramen för kontraktet i händelse av ett obestånd, exempelvis om motparten skulle gå i konkurs eller bli insolvent.</w:t>
            </w:r>
          </w:p>
          <w:p w14:paraId="3D6F6539" w14:textId="27A2337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Institut ska ta hänsyn till alla kreditderivat och inte bara de som överförts till </w:t>
            </w:r>
            <w:proofErr w:type="spellStart"/>
            <w:r>
              <w:rPr>
                <w:rFonts w:ascii="Times New Roman" w:hAnsi="Times New Roman"/>
                <w:sz w:val="24"/>
              </w:rPr>
              <w:t>handelslagret</w:t>
            </w:r>
            <w:proofErr w:type="spellEnd"/>
            <w:r>
              <w:rPr>
                <w:rFonts w:ascii="Times New Roman" w:hAnsi="Times New Roman"/>
                <w:sz w:val="24"/>
              </w:rPr>
              <w:t>.</w:t>
            </w:r>
            <w:r>
              <w:rPr>
                <w:rFonts w:ascii="Times New Roman" w:hAnsi="Times New Roman"/>
                <w:b/>
                <w:sz w:val="24"/>
                <w:u w:val="single"/>
              </w:rPr>
              <w:t xml:space="preserve"> </w:t>
            </w:r>
          </w:p>
        </w:tc>
      </w:tr>
      <w:tr w:rsidR="00410E47" w:rsidRPr="00E75BB8" w14:paraId="6FD3F9A1" w14:textId="77777777" w:rsidTr="00F56B61">
        <w:tc>
          <w:tcPr>
            <w:tcW w:w="1418" w:type="dxa"/>
          </w:tcPr>
          <w:p w14:paraId="735EF22F" w14:textId="3084E84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{0050;0010}</w:t>
            </w:r>
          </w:p>
        </w:tc>
        <w:tc>
          <w:tcPr>
            <w:tcW w:w="7620" w:type="dxa"/>
          </w:tcPr>
          <w:p w14:paraId="1C7DEFE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Kreditderivat (köpt skydd) – redovisat balansräkningsvärde</w:t>
            </w:r>
          </w:p>
          <w:p w14:paraId="253831D8" w14:textId="71F050F1"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sz w:val="24"/>
              </w:rPr>
              <w:t>Artikel 4.1.77 i förordning (EU) nr 575/2013 Det redovisade balansräkningsvärdet enligt de tillämpliga redovisningsreglerna för kreditderivat om institutet köper kreditskydd från en motpart och kontraktet ska redovisas som en tillgång i balansräkningen</w:t>
            </w:r>
          </w:p>
          <w:p w14:paraId="702252EB" w14:textId="057F95B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Institut ska ta hänsyn till alla kreditderivat och inte bara de som överförts till </w:t>
            </w:r>
            <w:proofErr w:type="spellStart"/>
            <w:r>
              <w:rPr>
                <w:rFonts w:ascii="Times New Roman" w:hAnsi="Times New Roman"/>
                <w:sz w:val="24"/>
              </w:rPr>
              <w:t>handelslagret</w:t>
            </w:r>
            <w:proofErr w:type="spellEnd"/>
            <w:r>
              <w:rPr>
                <w:rFonts w:ascii="Times New Roman" w:hAnsi="Times New Roman"/>
                <w:sz w:val="24"/>
              </w:rPr>
              <w:t>.</w:t>
            </w:r>
            <w:r>
              <w:rPr>
                <w:rFonts w:ascii="Times New Roman" w:hAnsi="Times New Roman"/>
                <w:b/>
                <w:sz w:val="24"/>
                <w:u w:val="single"/>
              </w:rPr>
              <w:t xml:space="preserve"> </w:t>
            </w:r>
          </w:p>
        </w:tc>
      </w:tr>
      <w:tr w:rsidR="00410E47" w:rsidRPr="00E75BB8" w14:paraId="7D57309E" w14:textId="77777777" w:rsidTr="00F56B61">
        <w:tc>
          <w:tcPr>
            <w:tcW w:w="1418" w:type="dxa"/>
          </w:tcPr>
          <w:p w14:paraId="321C83DC" w14:textId="405C1057"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{0050;0020}</w:t>
            </w:r>
          </w:p>
        </w:tc>
        <w:tc>
          <w:tcPr>
            <w:tcW w:w="7620" w:type="dxa"/>
          </w:tcPr>
          <w:p w14:paraId="0AFB57D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Kreditderivat (köpt skydd) – redovisat värde utan nettning eller annan kreditriskreducering</w:t>
            </w:r>
          </w:p>
          <w:p w14:paraId="269D2982" w14:textId="2B5E1E52"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sz w:val="24"/>
              </w:rPr>
              <w:t>Artikel 4.1.77 i förordning (EU) nr 575/2013 Det redovisade balansräkningsvärdet enligt de tillämpliga redovisningsreglerna för kreditderivat om institutet köper kreditskydd från en motpart och kontraktet redovisas som en tillgång i balansräkningen, utan effekter avseende tillsyn, redovisningsrelaterad nettning eller kreditriskreducering (dvs. eventuella effekter avseende redovisningsrelaterad nettning eller kreditriskreducering som har påverkat det redovisade värdet ska återföras)</w:t>
            </w:r>
          </w:p>
          <w:p w14:paraId="2E8D49DB" w14:textId="0AA00007"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Institut ska ta hänsyn till alla kreditderivat och inte bara de som överförts till </w:t>
            </w:r>
            <w:proofErr w:type="spellStart"/>
            <w:r>
              <w:rPr>
                <w:rFonts w:ascii="Times New Roman" w:hAnsi="Times New Roman"/>
                <w:sz w:val="24"/>
              </w:rPr>
              <w:t>handelslagret</w:t>
            </w:r>
            <w:proofErr w:type="spellEnd"/>
            <w:r>
              <w:rPr>
                <w:rFonts w:ascii="Times New Roman" w:hAnsi="Times New Roman"/>
                <w:sz w:val="24"/>
              </w:rPr>
              <w:t>.</w:t>
            </w:r>
            <w:r>
              <w:rPr>
                <w:rFonts w:ascii="Times New Roman" w:hAnsi="Times New Roman"/>
                <w:b/>
                <w:sz w:val="24"/>
                <w:u w:val="single"/>
              </w:rPr>
              <w:t xml:space="preserve"> </w:t>
            </w:r>
          </w:p>
        </w:tc>
      </w:tr>
      <w:tr w:rsidR="00410E47" w:rsidRPr="00E75BB8" w14:paraId="66D4DF42" w14:textId="77777777" w:rsidTr="00776650">
        <w:tc>
          <w:tcPr>
            <w:tcW w:w="1418" w:type="dxa"/>
          </w:tcPr>
          <w:p w14:paraId="14F12A57" w14:textId="14E0A38E"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{0050;0070}</w:t>
            </w:r>
          </w:p>
          <w:p w14:paraId="02F218B6"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1CAAAE1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Kreditderivat (köpt skydd) – teoretiskt belopp</w:t>
            </w:r>
          </w:p>
          <w:p w14:paraId="1671DB5D" w14:textId="3D6728B4"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rPr>
              <w:t xml:space="preserve">Institut ska rapportera det teoretiska beloppet för kreditderivat om institutet köper kreditskydd från en motpart. </w:t>
            </w:r>
          </w:p>
          <w:p w14:paraId="38DBE45F" w14:textId="372DBEE5"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Institut ska ta hänsyn till alla kreditderivat och inte bara de som överförts till </w:t>
            </w:r>
            <w:proofErr w:type="spellStart"/>
            <w:r>
              <w:rPr>
                <w:rFonts w:ascii="Times New Roman" w:hAnsi="Times New Roman"/>
                <w:sz w:val="24"/>
              </w:rPr>
              <w:t>handelslagret</w:t>
            </w:r>
            <w:proofErr w:type="spellEnd"/>
            <w:r>
              <w:rPr>
                <w:rFonts w:ascii="Times New Roman" w:hAnsi="Times New Roman"/>
                <w:sz w:val="24"/>
              </w:rPr>
              <w:t>.</w:t>
            </w:r>
            <w:r>
              <w:rPr>
                <w:rFonts w:ascii="Times New Roman" w:hAnsi="Times New Roman"/>
                <w:b/>
                <w:sz w:val="24"/>
                <w:u w:val="single"/>
              </w:rPr>
              <w:t xml:space="preserve"> </w:t>
            </w:r>
          </w:p>
        </w:tc>
      </w:tr>
      <w:tr w:rsidR="00410E47" w:rsidRPr="00E75BB8" w14:paraId="05C9F42E" w14:textId="77777777" w:rsidTr="00776650">
        <w:tc>
          <w:tcPr>
            <w:tcW w:w="1418" w:type="dxa"/>
          </w:tcPr>
          <w:p w14:paraId="0F85E383" w14:textId="5077338D"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{0050;0075}</w:t>
            </w:r>
          </w:p>
        </w:tc>
        <w:tc>
          <w:tcPr>
            <w:tcW w:w="7620" w:type="dxa"/>
          </w:tcPr>
          <w:p w14:paraId="1E75C7B9"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Kreditderivat (köpt skydd) – begränsat teoretiskt belopp</w:t>
            </w:r>
          </w:p>
          <w:p w14:paraId="34A0542C" w14:textId="20F92B99" w:rsidR="00410E47" w:rsidRPr="000B66BC" w:rsidRDefault="003E3C45" w:rsidP="000B66BC">
            <w:pPr>
              <w:pStyle w:val="BodyText1"/>
              <w:spacing w:after="240" w:line="240" w:lineRule="auto"/>
              <w:rPr>
                <w:rFonts w:ascii="Times New Roman" w:hAnsi="Times New Roman"/>
                <w:b/>
                <w:bCs/>
                <w:sz w:val="24"/>
                <w:szCs w:val="24"/>
              </w:rPr>
            </w:pPr>
            <w:r>
              <w:rPr>
                <w:rFonts w:ascii="Times New Roman" w:hAnsi="Times New Roman"/>
                <w:sz w:val="24"/>
              </w:rPr>
              <w:t>Institut ska rapportera det teoretiska beloppet för kreditderivat (köpt skydd) som i {0050;0070}, efter minskning med eventuella positiva förändringar i verkliga värden som har medräknats i primärkapitalet med hänsyn till det köpta kreditderivatet.</w:t>
            </w:r>
          </w:p>
        </w:tc>
      </w:tr>
      <w:tr w:rsidR="00410E47" w:rsidRPr="00E75BB8" w14:paraId="3D24D0EB" w14:textId="77777777" w:rsidTr="00776650">
        <w:tc>
          <w:tcPr>
            <w:tcW w:w="1418" w:type="dxa"/>
          </w:tcPr>
          <w:p w14:paraId="2FA9342C" w14:textId="1D5DB6DE"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{0050;0085}</w:t>
            </w:r>
          </w:p>
          <w:p w14:paraId="09433CF3"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7385FC42" w14:textId="77777777" w:rsidR="00410E47" w:rsidRPr="000B66BC" w:rsidRDefault="00ED7412" w:rsidP="000B66BC">
            <w:pPr>
              <w:pStyle w:val="BodyText1"/>
              <w:spacing w:after="240" w:line="240" w:lineRule="auto"/>
              <w:rPr>
                <w:rFonts w:ascii="Times New Roman" w:hAnsi="Times New Roman"/>
                <w:b/>
                <w:bCs/>
                <w:sz w:val="24"/>
                <w:szCs w:val="24"/>
              </w:rPr>
            </w:pPr>
            <w:r>
              <w:rPr>
                <w:rFonts w:ascii="Times New Roman" w:hAnsi="Times New Roman"/>
                <w:b/>
                <w:sz w:val="24"/>
              </w:rPr>
              <w:lastRenderedPageBreak/>
              <w:t>Kreditderivat (köpt skydd) – begränsat teoretiskt belopp (samma referensnamn)</w:t>
            </w:r>
          </w:p>
          <w:p w14:paraId="797BBD79" w14:textId="03DB9559"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Institut ska rapportera det teoretiska beloppet för kreditderivat om institutet köper kreditskydd för samma underliggande referensnamn som för de kreditderivat som utfärdas av det rapporterande institutet.</w:t>
            </w:r>
          </w:p>
          <w:p w14:paraId="55CDE23E"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 xml:space="preserve">Vid rapportering av detta cellvärde betraktas underliggande referensnamn vara likvärdiga om de åsyftar samma juridiska person och </w:t>
            </w:r>
            <w:proofErr w:type="spellStart"/>
            <w:r>
              <w:rPr>
                <w:rFonts w:ascii="Times New Roman" w:hAnsi="Times New Roman"/>
                <w:sz w:val="24"/>
              </w:rPr>
              <w:t>senioritet</w:t>
            </w:r>
            <w:proofErr w:type="spellEnd"/>
            <w:r>
              <w:rPr>
                <w:rFonts w:ascii="Times New Roman" w:hAnsi="Times New Roman"/>
                <w:sz w:val="24"/>
              </w:rPr>
              <w:t xml:space="preserve">. </w:t>
            </w:r>
          </w:p>
          <w:p w14:paraId="2F022BB9" w14:textId="3144A560"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Kreditskydd som köpts i en grupp av referensenheter ska betraktas som likvärdiga om skyddet finansiellt sett motsvarar det skydd som köpts separat för vart och ett av namnen i gruppen.</w:t>
            </w:r>
          </w:p>
          <w:p w14:paraId="0154314D"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 xml:space="preserve">Om ett institut köper kreditskydd i en pool av referensnamn anses kreditskyddet endast vara likvärdigt om det köpta kreditskyddet täcker samtliga delar i den pool avseende vilken kreditskydd har sålts. Med andra ord kan kvittning endast redovisas när gruppen av referensenheter och prioriteringsnivån avseende båda transaktioner är identiska. </w:t>
            </w:r>
          </w:p>
          <w:p w14:paraId="52D47F4F" w14:textId="120567C7"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sz w:val="24"/>
              </w:rPr>
              <w:t>För varje referensnamn gäller att de teoretiska belopp för köpt kreditskydd som beaktas i denna cell inte får överstiga det belopp som rapporteras i {0020;0075} och {0050;0075}.</w:t>
            </w:r>
          </w:p>
        </w:tc>
      </w:tr>
      <w:tr w:rsidR="00410E47" w:rsidRPr="00E75BB8" w14:paraId="679A8A87" w14:textId="77777777" w:rsidTr="00776650">
        <w:tc>
          <w:tcPr>
            <w:tcW w:w="1418" w:type="dxa"/>
          </w:tcPr>
          <w:p w14:paraId="486F8B55" w14:textId="7C0C1343"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{0060;0010}</w:t>
            </w:r>
          </w:p>
        </w:tc>
        <w:tc>
          <w:tcPr>
            <w:tcW w:w="7620" w:type="dxa"/>
          </w:tcPr>
          <w:p w14:paraId="7A410C0D" w14:textId="15D05203"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Finansiella derivat – redovisat balansräkningsvärde</w:t>
            </w:r>
          </w:p>
          <w:p w14:paraId="6FA0DDE8" w14:textId="54BDF180"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sz w:val="24"/>
              </w:rPr>
              <w:t>Artikel 4.1.77 i förordning (EU) nr 575/2013</w:t>
            </w:r>
          </w:p>
          <w:p w14:paraId="5A64C9B2" w14:textId="15E6A0CE" w:rsidR="00410E47" w:rsidRPr="000B66BC" w:rsidRDefault="00E24137" w:rsidP="00474B43">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 redovisade balansräkningsvärdet enligt de tillämpliga redovisningsreglerna för sådana kontrakt som anges i bilaga II till förordning (EU) nr 575/2013 om kontraktet redovisas som tillgångar i balansräkningen.</w:t>
            </w:r>
          </w:p>
        </w:tc>
      </w:tr>
      <w:tr w:rsidR="00410E47" w:rsidRPr="00E75BB8" w14:paraId="64AB4D96" w14:textId="77777777" w:rsidTr="00776650">
        <w:tc>
          <w:tcPr>
            <w:tcW w:w="1418" w:type="dxa"/>
          </w:tcPr>
          <w:p w14:paraId="2EC14738" w14:textId="4D7985E6"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{0060;0020}</w:t>
            </w:r>
          </w:p>
        </w:tc>
        <w:tc>
          <w:tcPr>
            <w:tcW w:w="7620" w:type="dxa"/>
          </w:tcPr>
          <w:p w14:paraId="47D5F19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Finansiella derivat – redovisat värde utan nettning eller annan kreditriskreducering</w:t>
            </w:r>
          </w:p>
          <w:p w14:paraId="00EB79C6" w14:textId="4B1F5274" w:rsidR="00410E47" w:rsidRPr="000B66BC" w:rsidRDefault="006D6827" w:rsidP="00474B43">
            <w:pPr>
              <w:pStyle w:val="BodyText1"/>
              <w:spacing w:after="240" w:line="240" w:lineRule="auto"/>
              <w:rPr>
                <w:rFonts w:ascii="Times New Roman" w:hAnsi="Times New Roman"/>
                <w:b/>
                <w:bCs/>
                <w:sz w:val="24"/>
                <w:szCs w:val="24"/>
                <w:u w:val="single"/>
              </w:rPr>
            </w:pPr>
            <w:r>
              <w:rPr>
                <w:rFonts w:ascii="Times New Roman" w:hAnsi="Times New Roman"/>
                <w:sz w:val="24"/>
              </w:rPr>
              <w:t>Artikel 4.1.77 i förordning (EU) nr 575/2013 Det redovisade balansräkningsvärdet enligt de tillämpliga redovisningsreglerna för sådana kontrakt som anges i bilaga II till förordning (EU) nr 575/2013 om kontraktet redovisas som tillgångar i balansräkningen, utan effekter avseende tillsyn, redovisningsrelaterad nettning eller andra effekter av kreditriskreducering (dvs. eventuella effekter avseende redovisningsrelaterad nettning eller kreditriskreducering som har påverkat det redovisade värdet ska återföras)</w:t>
            </w:r>
          </w:p>
        </w:tc>
      </w:tr>
      <w:tr w:rsidR="00410E47" w:rsidRPr="00E75BB8" w14:paraId="24EE0FAD" w14:textId="77777777" w:rsidTr="00776650">
        <w:tc>
          <w:tcPr>
            <w:tcW w:w="1418" w:type="dxa"/>
          </w:tcPr>
          <w:p w14:paraId="1ACC573A" w14:textId="679E5400"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{0060;0070}</w:t>
            </w:r>
          </w:p>
        </w:tc>
        <w:tc>
          <w:tcPr>
            <w:tcW w:w="7620" w:type="dxa"/>
          </w:tcPr>
          <w:p w14:paraId="2C3B01F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Finansiella derivat – teoretiskt belopp</w:t>
            </w:r>
          </w:p>
          <w:p w14:paraId="64E79FE5" w14:textId="0BAB0D53"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sz w:val="24"/>
              </w:rPr>
              <w:t>Denna cell ska omfatta det teoretiska beloppet för sådana kontrakt som anges i bilaga II till förordning (EU) nr 575/2013.</w:t>
            </w:r>
          </w:p>
        </w:tc>
      </w:tr>
      <w:tr w:rsidR="007B7914" w:rsidRPr="00E75BB8" w14:paraId="77E61D46" w14:textId="77777777" w:rsidTr="007B7914">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sz w:val="24"/>
              </w:rPr>
              <w:t>{0071;0010}</w:t>
            </w:r>
          </w:p>
        </w:tc>
        <w:tc>
          <w:tcPr>
            <w:tcW w:w="7620" w:type="dxa"/>
            <w:tcBorders>
              <w:top w:val="single" w:sz="4" w:space="0" w:color="auto"/>
              <w:left w:val="single" w:sz="4" w:space="0" w:color="auto"/>
              <w:bottom w:val="single" w:sz="4" w:space="0" w:color="auto"/>
              <w:right w:val="single" w:sz="4" w:space="0" w:color="auto"/>
            </w:tcBorders>
          </w:tcPr>
          <w:p w14:paraId="2D48E17E"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sz w:val="24"/>
              </w:rPr>
              <w:t>Transaktioner för värdepappersfinansiering – redovisat balansräkningsvärde</w:t>
            </w:r>
          </w:p>
          <w:p w14:paraId="0D6AB751" w14:textId="3C2AF32F" w:rsidR="007B7914" w:rsidRPr="000B66BC" w:rsidRDefault="007B7914" w:rsidP="000B66BC">
            <w:pPr>
              <w:pStyle w:val="BodyText1"/>
              <w:spacing w:after="240" w:line="240" w:lineRule="auto"/>
              <w:rPr>
                <w:rFonts w:ascii="Times New Roman" w:hAnsi="Times New Roman"/>
                <w:bCs/>
                <w:sz w:val="24"/>
                <w:szCs w:val="24"/>
              </w:rPr>
            </w:pPr>
            <w:r>
              <w:rPr>
                <w:rFonts w:ascii="Times New Roman" w:hAnsi="Times New Roman"/>
                <w:sz w:val="24"/>
              </w:rPr>
              <w:t xml:space="preserve">Artikel 4.1.77 i förordning (EU) nr 575/2013 Det redovisade balansräkningsvärdet av transaktioner för värdepappersfinansiering enligt de </w:t>
            </w:r>
            <w:r>
              <w:rPr>
                <w:rFonts w:ascii="Times New Roman" w:hAnsi="Times New Roman"/>
                <w:sz w:val="24"/>
              </w:rPr>
              <w:lastRenderedPageBreak/>
              <w:t>tillämpliga redovisningsreglerna om kontraktet redovisas som tillgångar i balansräkningen</w:t>
            </w:r>
          </w:p>
          <w:p w14:paraId="2235756A" w14:textId="4A4EF690"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sz w:val="24"/>
              </w:rPr>
              <w:t>I denna cell ska institut inte inkludera mottagna kontanter eller värdepapper som lämnas till en motpart genom ovannämnda transaktioner och som tas med i balansräkningen (dvs. redovisningskraven för borttagning uppfylls inte). Institut ska i stället inkludera detta i {0090,0010}.</w:t>
            </w:r>
          </w:p>
        </w:tc>
      </w:tr>
      <w:tr w:rsidR="007B7914" w:rsidRPr="00E75BB8" w14:paraId="4906EC4F" w14:textId="77777777" w:rsidTr="007B7914">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sz w:val="24"/>
              </w:rPr>
              <w:lastRenderedPageBreak/>
              <w:t>{0071;0020}</w:t>
            </w:r>
          </w:p>
        </w:tc>
        <w:tc>
          <w:tcPr>
            <w:tcW w:w="7620" w:type="dxa"/>
            <w:tcBorders>
              <w:top w:val="single" w:sz="4" w:space="0" w:color="auto"/>
              <w:left w:val="single" w:sz="4" w:space="0" w:color="auto"/>
              <w:bottom w:val="single" w:sz="4" w:space="0" w:color="auto"/>
              <w:right w:val="single" w:sz="4" w:space="0" w:color="auto"/>
            </w:tcBorders>
          </w:tcPr>
          <w:p w14:paraId="199363B4"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sz w:val="24"/>
              </w:rPr>
              <w:t>Transaktioner för värdepappersfinansiering – redovisat värde utan nettning eller annan kreditriskreducering</w:t>
            </w:r>
          </w:p>
          <w:p w14:paraId="07F0EA6D" w14:textId="56C0173B" w:rsidR="00474B43" w:rsidRDefault="007B7914" w:rsidP="000B66BC">
            <w:pPr>
              <w:pStyle w:val="BodyText1"/>
              <w:spacing w:after="240" w:line="240" w:lineRule="auto"/>
              <w:rPr>
                <w:rFonts w:ascii="Times New Roman" w:hAnsi="Times New Roman"/>
                <w:bCs/>
                <w:sz w:val="24"/>
                <w:szCs w:val="24"/>
              </w:rPr>
            </w:pPr>
            <w:r>
              <w:rPr>
                <w:rFonts w:ascii="Times New Roman" w:hAnsi="Times New Roman"/>
                <w:sz w:val="24"/>
              </w:rPr>
              <w:t xml:space="preserve">Artikel 4.1.77 i förordning (EU) nr 575/2013 Det redovisade balansräkningsvärdet enligt de tillämpliga redovisningsreglerna om kontraktet redovisas som en tillgång i balansräkningen, utan effekter avseende tillsyn, redovisningsrelaterad nettning eller andra effekter av kreditriskreducering (dvs. eventuella effekter avseende redovisningsrelaterad nettning eller kreditriskreducering som har påverkat det redovisade värdet ska återföras). </w:t>
            </w:r>
          </w:p>
          <w:p w14:paraId="04F4C292" w14:textId="292EA0BD" w:rsidR="007B7914"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sz w:val="24"/>
              </w:rPr>
              <w:t>Om försäljningsredovisning görs av en transaktion för värdepappersfinansiering enligt de tillämpliga redovisningsreglerna ska institut ändra alla försäljningsrelaterade bokföringsposter.</w:t>
            </w:r>
          </w:p>
          <w:p w14:paraId="072F9F82" w14:textId="5255D9A3"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sz w:val="24"/>
              </w:rPr>
              <w:t>I denna cell ska institut inte inkludera mottagna kontanter eller värdepapper som lämnas till en motpart genom ovannämnda transaktioner och som tas med i balansräkningen (dvs. redovisningskraven för borttagning uppfylls inte). Institut ska i stället inkludera detta i {0090,0020}.</w:t>
            </w:r>
          </w:p>
        </w:tc>
      </w:tr>
      <w:tr w:rsidR="00410E47" w:rsidRPr="00E75BB8" w14:paraId="2BD078C3" w14:textId="77777777" w:rsidTr="00FC2664">
        <w:tc>
          <w:tcPr>
            <w:tcW w:w="1418" w:type="dxa"/>
          </w:tcPr>
          <w:p w14:paraId="793DC72B" w14:textId="19D262D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{0090;0010}</w:t>
            </w:r>
          </w:p>
        </w:tc>
        <w:tc>
          <w:tcPr>
            <w:tcW w:w="7620" w:type="dxa"/>
          </w:tcPr>
          <w:p w14:paraId="520EA2A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Övriga tillgångar – redovisat balansräkningsvärde</w:t>
            </w:r>
          </w:p>
          <w:p w14:paraId="6BEE30BB" w14:textId="44CE9FC7" w:rsidR="00410E47" w:rsidRPr="000B66BC" w:rsidRDefault="0084728D" w:rsidP="00474B43">
            <w:pPr>
              <w:pStyle w:val="BodyText1"/>
              <w:spacing w:after="240" w:line="240" w:lineRule="auto"/>
              <w:rPr>
                <w:rFonts w:ascii="Times New Roman" w:hAnsi="Times New Roman"/>
                <w:b/>
                <w:bCs/>
                <w:sz w:val="24"/>
                <w:szCs w:val="24"/>
                <w:u w:val="single"/>
              </w:rPr>
            </w:pPr>
            <w:r>
              <w:rPr>
                <w:rFonts w:ascii="Times New Roman" w:hAnsi="Times New Roman"/>
                <w:sz w:val="24"/>
              </w:rPr>
              <w:t>Artikel 4.1.77 i förordning (EU) nr 575/2013 Det redovisade balansräkningsvärdet enligt de tillämpliga redovisningsreglerna av alla andra tillgångar än de kontrakt som anges i bilaga II till förordning (EU) nr 575/2013, kreditderivat, och transaktioner för värdepappersfinansiering.</w:t>
            </w:r>
          </w:p>
        </w:tc>
      </w:tr>
      <w:tr w:rsidR="00410E47" w:rsidRPr="00E75BB8" w14:paraId="2A9CFA05" w14:textId="77777777" w:rsidTr="00FC2664">
        <w:tc>
          <w:tcPr>
            <w:tcW w:w="1418" w:type="dxa"/>
          </w:tcPr>
          <w:p w14:paraId="77B58A02" w14:textId="5206339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{0090;0020}</w:t>
            </w:r>
          </w:p>
        </w:tc>
        <w:tc>
          <w:tcPr>
            <w:tcW w:w="7620" w:type="dxa"/>
          </w:tcPr>
          <w:p w14:paraId="0A7C5F46"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Övriga tillgångar – redovisat värde utan nettning eller annan kreditriskreducering</w:t>
            </w:r>
          </w:p>
          <w:p w14:paraId="6FFD3E4A" w14:textId="01BB1CE6" w:rsidR="00410E47" w:rsidRDefault="00E20CD8" w:rsidP="00474B43">
            <w:pPr>
              <w:pStyle w:val="BodyText1"/>
              <w:spacing w:after="240" w:line="240" w:lineRule="auto"/>
              <w:rPr>
                <w:rFonts w:ascii="Times New Roman" w:hAnsi="Times New Roman"/>
                <w:bCs/>
                <w:sz w:val="24"/>
                <w:szCs w:val="24"/>
              </w:rPr>
            </w:pPr>
            <w:r>
              <w:rPr>
                <w:rFonts w:ascii="Times New Roman" w:hAnsi="Times New Roman"/>
                <w:sz w:val="24"/>
              </w:rPr>
              <w:t>Artikel 4.1.77 i förordning (EU) nr 575/2013 Det redovisade balansräkningsvärdet enligt de tillämpliga redovisningsreglerna för alla andra tillgångar än kontrakt som anges i bilaga II till förordning (EU) nr 575/2013, kreditderivat och transaktioner för värdepappersfinansiering, utan effekter avseende redovisningsrelaterad nettning eller andra effekter av kreditriskreducering (dvs. eventuella effekter avseende redovisningsrelaterad nettning eller kreditriskreducering som har påverkat det redovisade värdet ska återföras)</w:t>
            </w:r>
          </w:p>
          <w:p w14:paraId="398E7EA3" w14:textId="1CC2FD77" w:rsidR="00D1326E" w:rsidRPr="000B66BC" w:rsidRDefault="00D1326E" w:rsidP="00474B43">
            <w:pPr>
              <w:pStyle w:val="BodyText1"/>
              <w:spacing w:after="240" w:line="240" w:lineRule="auto"/>
              <w:rPr>
                <w:rFonts w:ascii="Times New Roman" w:hAnsi="Times New Roman"/>
                <w:b/>
                <w:bCs/>
                <w:sz w:val="24"/>
                <w:szCs w:val="24"/>
                <w:u w:val="single"/>
              </w:rPr>
            </w:pPr>
          </w:p>
        </w:tc>
      </w:tr>
      <w:tr w:rsidR="00D5649D" w:rsidRPr="00E75BB8" w14:paraId="6FD4B7E9" w14:textId="77777777" w:rsidTr="00D5649D">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0B66BC" w:rsidDel="00764219" w:rsidRDefault="00D5649D" w:rsidP="000B66BC">
            <w:pPr>
              <w:pStyle w:val="BodyText1"/>
              <w:spacing w:after="240"/>
              <w:rPr>
                <w:rFonts w:ascii="Times New Roman" w:hAnsi="Times New Roman"/>
                <w:bCs/>
                <w:sz w:val="24"/>
                <w:szCs w:val="24"/>
              </w:rPr>
            </w:pPr>
            <w:r>
              <w:rPr>
                <w:rFonts w:ascii="Times New Roman" w:hAnsi="Times New Roman"/>
                <w:sz w:val="24"/>
              </w:rPr>
              <w:lastRenderedPageBreak/>
              <w:t>{0095;0070}</w:t>
            </w:r>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0B66BC" w:rsidRDefault="00D5649D" w:rsidP="000B66BC">
            <w:pPr>
              <w:pStyle w:val="BodyText1"/>
              <w:spacing w:after="240" w:line="240" w:lineRule="auto"/>
              <w:rPr>
                <w:rFonts w:ascii="Times New Roman" w:hAnsi="Times New Roman"/>
                <w:b/>
                <w:bCs/>
                <w:sz w:val="24"/>
                <w:szCs w:val="24"/>
              </w:rPr>
            </w:pPr>
            <w:r>
              <w:rPr>
                <w:rFonts w:ascii="Times New Roman" w:hAnsi="Times New Roman"/>
                <w:b/>
                <w:sz w:val="24"/>
              </w:rPr>
              <w:t>Poster utanför balansräkningen</w:t>
            </w:r>
          </w:p>
          <w:p w14:paraId="76247621" w14:textId="685AAB93" w:rsidR="00D5649D" w:rsidRPr="000B66BC" w:rsidDel="00764219" w:rsidRDefault="00474B43" w:rsidP="000B66BC">
            <w:pPr>
              <w:pStyle w:val="BodyText1"/>
              <w:spacing w:after="240" w:line="240" w:lineRule="auto"/>
              <w:rPr>
                <w:rFonts w:ascii="Times New Roman" w:hAnsi="Times New Roman"/>
                <w:b/>
                <w:bCs/>
                <w:sz w:val="24"/>
                <w:szCs w:val="24"/>
              </w:rPr>
            </w:pPr>
            <w:r>
              <w:rPr>
                <w:rFonts w:ascii="Times New Roman" w:hAnsi="Times New Roman"/>
                <w:sz w:val="24"/>
              </w:rPr>
              <w:t>Institut ska rapportera det nominella värdet av poster utanför balansräkningen. I denna cell ska institut inte inkludera de kontrakt som anges i bilaga II till förordning (EU) nr 575/2013, kreditderivat och transaktioner för värdepappersfinansiering i enlighet med artikel 429f.1 i förordning (EU) nr 575/2013.</w:t>
            </w:r>
          </w:p>
        </w:tc>
      </w:tr>
      <w:tr w:rsidR="00410E47" w:rsidRPr="00E75BB8" w14:paraId="0FBB579D" w14:textId="77777777" w:rsidTr="00086398">
        <w:tc>
          <w:tcPr>
            <w:tcW w:w="1418" w:type="dxa"/>
          </w:tcPr>
          <w:p w14:paraId="28FDBFBD" w14:textId="613B5E03"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{0210;0020}</w:t>
            </w:r>
          </w:p>
        </w:tc>
        <w:tc>
          <w:tcPr>
            <w:tcW w:w="7620" w:type="dxa"/>
          </w:tcPr>
          <w:p w14:paraId="29B185C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Mottagen kontant säkerhet i derivattransaktioner – redovisat värde utan nettning eller annan kreditriskreducering</w:t>
            </w:r>
          </w:p>
          <w:p w14:paraId="39EDF297" w14:textId="273BC4C8"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Det redovisade balansräkningsvärdet enligt de tillämpliga redovisningsreglerna för kontant säkerhet som mottagits i derivattransaktioner, utan effekter avseende redovisningsrelaterad nettning eller andra effekter av kreditriskreducering (dvs. eventuella effekter avseende redovisningsrelaterad nettning eller kreditriskreducering som har påverkat det redovisade värdet ska återföras)</w:t>
            </w:r>
          </w:p>
          <w:p w14:paraId="2131D4BF" w14:textId="59EC9867" w:rsidR="00410E47" w:rsidRPr="000B66BC" w:rsidRDefault="00410E47" w:rsidP="00474B43">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I denna cell ska kontanter definieras som det totala kontanta beloppet inklusive mynt och sedlar. Samlad inlåning hos centralbanker ska inkluderas om denna kan tas ut under perioder av stress. Institut ska inte rapportera kontanta medel som är insatta hos andra institut i denna cell.</w:t>
            </w:r>
          </w:p>
        </w:tc>
      </w:tr>
      <w:tr w:rsidR="00410E47" w:rsidRPr="00E75BB8" w14:paraId="53DF6927" w14:textId="77777777" w:rsidTr="00086398">
        <w:tc>
          <w:tcPr>
            <w:tcW w:w="1418" w:type="dxa"/>
          </w:tcPr>
          <w:p w14:paraId="211CECAA" w14:textId="44AF7167"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{0220;0020}</w:t>
            </w:r>
          </w:p>
        </w:tc>
        <w:tc>
          <w:tcPr>
            <w:tcW w:w="7620" w:type="dxa"/>
          </w:tcPr>
          <w:p w14:paraId="6DB00C4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Fordringar avseende kontant säkerhet som ställts i derivattransaktioner – redovisat värde utan nettning eller annan kreditriskreducering</w:t>
            </w:r>
          </w:p>
          <w:p w14:paraId="7D33E862" w14:textId="047F9D4A" w:rsidR="00474B43" w:rsidRDefault="00410E47" w:rsidP="000B66BC">
            <w:pPr>
              <w:pStyle w:val="BodyText1"/>
              <w:spacing w:after="240" w:line="240" w:lineRule="auto"/>
              <w:rPr>
                <w:rFonts w:ascii="Times New Roman" w:hAnsi="Times New Roman"/>
                <w:sz w:val="24"/>
                <w:szCs w:val="24"/>
              </w:rPr>
            </w:pPr>
            <w:r>
              <w:rPr>
                <w:rFonts w:ascii="Times New Roman" w:hAnsi="Times New Roman"/>
                <w:sz w:val="24"/>
              </w:rPr>
              <w:t xml:space="preserve">Det redovisade balansräkningsvärdet enligt de tillämpliga redovisningsreglerna av fordringar avseende kontant säkerhet som ställts mot derivattransaktioner, utan effekter avseende redovisningsrelaterad nettning eller annan kreditriskreducering (dvs. eventuella effekter avseende redovisningsrelaterad nettning eller kreditriskreducering som har påverkat det redovisade värdet ska återföras) </w:t>
            </w:r>
          </w:p>
          <w:p w14:paraId="7CD00868" w14:textId="0996E74B"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sz w:val="24"/>
              </w:rPr>
              <w:t xml:space="preserve">Institut som enligt de tillämpliga redovisningsreglerna får </w:t>
            </w:r>
            <w:proofErr w:type="spellStart"/>
            <w:r>
              <w:rPr>
                <w:rFonts w:ascii="Times New Roman" w:hAnsi="Times New Roman"/>
                <w:sz w:val="24"/>
              </w:rPr>
              <w:t>netta</w:t>
            </w:r>
            <w:proofErr w:type="spellEnd"/>
            <w:r>
              <w:rPr>
                <w:rFonts w:ascii="Times New Roman" w:hAnsi="Times New Roman"/>
                <w:sz w:val="24"/>
              </w:rPr>
              <w:t xml:space="preserve"> fordringar avseende kontant säkerhet som ställts mot motsvarande derivatskuld (negativt verkligt värde) och som väljer att göra detta ska omvända </w:t>
            </w:r>
            <w:proofErr w:type="spellStart"/>
            <w:r>
              <w:rPr>
                <w:rFonts w:ascii="Times New Roman" w:hAnsi="Times New Roman"/>
                <w:sz w:val="24"/>
              </w:rPr>
              <w:t>nettningen</w:t>
            </w:r>
            <w:proofErr w:type="spellEnd"/>
            <w:r>
              <w:rPr>
                <w:rFonts w:ascii="Times New Roman" w:hAnsi="Times New Roman"/>
                <w:sz w:val="24"/>
              </w:rPr>
              <w:t xml:space="preserve"> och ange nettovärdet för kontantfordringar.</w:t>
            </w:r>
          </w:p>
        </w:tc>
      </w:tr>
      <w:tr w:rsidR="00410E47" w:rsidRPr="00E75BB8" w14:paraId="56CCADD2" w14:textId="77777777" w:rsidTr="00086398">
        <w:tc>
          <w:tcPr>
            <w:tcW w:w="1418" w:type="dxa"/>
          </w:tcPr>
          <w:p w14:paraId="3CD1E23F" w14:textId="2F79B69D"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{0230;0020}</w:t>
            </w:r>
          </w:p>
        </w:tc>
        <w:tc>
          <w:tcPr>
            <w:tcW w:w="7620" w:type="dxa"/>
          </w:tcPr>
          <w:p w14:paraId="5AE16600"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Värdepapper som mottagits i en transaktion för värdepappersfinansiering och som redovisas som en tillgång – redovisat värde utan nettning eller annan kreditriskreducering</w:t>
            </w:r>
          </w:p>
          <w:p w14:paraId="28A4D6AF" w14:textId="5C43B50B" w:rsidR="00410E47" w:rsidRPr="000B66BC" w:rsidRDefault="00410E47" w:rsidP="00474B43">
            <w:pPr>
              <w:pStyle w:val="BodyText1"/>
              <w:spacing w:after="240" w:line="240" w:lineRule="auto"/>
              <w:rPr>
                <w:rFonts w:ascii="Times New Roman" w:hAnsi="Times New Roman"/>
                <w:b/>
                <w:bCs/>
                <w:sz w:val="24"/>
                <w:szCs w:val="24"/>
              </w:rPr>
            </w:pPr>
            <w:r>
              <w:rPr>
                <w:rFonts w:ascii="Times New Roman" w:hAnsi="Times New Roman"/>
                <w:sz w:val="24"/>
              </w:rPr>
              <w:t>Det redovisade balansräkningsvärdet enligt de tillämpliga redovisningsreglerna för värdepapper som mottagits i en transaktion för värdepappersfinansiering och som redovisas som en tillgång enligt tillämplig redovisningsram, utan effekter avseende redovisningsrelaterad nettning eller andra effekter av kreditriskreducering (dvs. eventuella effekter avseende redovisningsrelaterad nettning eller kreditriskreducering som har påverkat det redovisade värdet ska återföras)</w:t>
            </w:r>
          </w:p>
        </w:tc>
      </w:tr>
      <w:tr w:rsidR="00410E47" w:rsidRPr="00E75BB8" w14:paraId="73AB9A4D" w14:textId="77777777" w:rsidTr="00086398">
        <w:tc>
          <w:tcPr>
            <w:tcW w:w="1418" w:type="dxa"/>
          </w:tcPr>
          <w:p w14:paraId="05353E9D" w14:textId="466C38AA"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{0240;0020}</w:t>
            </w:r>
          </w:p>
        </w:tc>
        <w:tc>
          <w:tcPr>
            <w:tcW w:w="7620" w:type="dxa"/>
          </w:tcPr>
          <w:p w14:paraId="66AFC109" w14:textId="77777777" w:rsidR="00410E47" w:rsidRPr="000B66BC" w:rsidRDefault="00410E4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Kontantlånetransaktion i samband med en transaktion för värdepappersfinansiering (kontantfordringar) – redovisat värde utan nettning eller annan kreditriskreducering</w:t>
            </w:r>
          </w:p>
          <w:p w14:paraId="6B9D4FF6" w14:textId="65358007"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rPr>
              <w:t xml:space="preserve">Det redovisade balansräkningsvärdet enligt de tillämpliga redovisningsreglerna av kontanta medel som lånats ut till värdepappersinnehavaren inom ramen för en behörig kontantlånetransaktion (Cash </w:t>
            </w:r>
            <w:proofErr w:type="spellStart"/>
            <w:r>
              <w:rPr>
                <w:rFonts w:ascii="Times New Roman" w:hAnsi="Times New Roman"/>
                <w:sz w:val="24"/>
              </w:rPr>
              <w:t>Conduit</w:t>
            </w:r>
            <w:proofErr w:type="spellEnd"/>
            <w:r>
              <w:rPr>
                <w:rFonts w:ascii="Times New Roman" w:hAnsi="Times New Roman"/>
                <w:sz w:val="24"/>
              </w:rPr>
              <w:t xml:space="preserve"> </w:t>
            </w:r>
            <w:proofErr w:type="spellStart"/>
            <w:r>
              <w:rPr>
                <w:rFonts w:ascii="Times New Roman" w:hAnsi="Times New Roman"/>
                <w:sz w:val="24"/>
              </w:rPr>
              <w:t>Lending</w:t>
            </w:r>
            <w:proofErr w:type="spellEnd"/>
            <w:r>
              <w:rPr>
                <w:rFonts w:ascii="Times New Roman" w:hAnsi="Times New Roman"/>
                <w:sz w:val="24"/>
              </w:rPr>
              <w:t xml:space="preserve"> </w:t>
            </w:r>
            <w:proofErr w:type="spellStart"/>
            <w:r>
              <w:rPr>
                <w:rFonts w:ascii="Times New Roman" w:hAnsi="Times New Roman"/>
                <w:sz w:val="24"/>
              </w:rPr>
              <w:t>Transaction</w:t>
            </w:r>
            <w:proofErr w:type="spellEnd"/>
            <w:r>
              <w:rPr>
                <w:rFonts w:ascii="Times New Roman" w:hAnsi="Times New Roman"/>
                <w:sz w:val="24"/>
              </w:rPr>
              <w:t>, CCLT), utan effekter avseende redovisningsrelaterad nettning eller andra effekter av kreditriskreducering (dvs. eventuella effekter avseende redovisningsrelaterad nettning eller kreditriskreducering som har påverkat det redovisade värdet ska återföras)</w:t>
            </w:r>
          </w:p>
          <w:p w14:paraId="748B124D" w14:textId="5207C93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rPr>
              <w:t>I denna cell ska kontanter definieras som det totala kontanta beloppet inklusive mynt och sedlar. Samlad inlåning hos centralbanker ska inkluderas om denna kan tas ut under perioder av stress. Institut ska inte ange kontanta medel som är insatta hos andra institut i denna cell.</w:t>
            </w:r>
          </w:p>
          <w:p w14:paraId="334DF029" w14:textId="5385364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rPr>
              <w:t>En kontantlånetransaktion ska definieras som en kombination av två transaktioner där ett institut lånar värdepapper av värdepappersinnehavaren och i sin tur lånar ut värdepapper till värdepappersköparen. Institutet får kontant säkerhet från värdepappersköparen och lånar i sin tur ut de mottagna medlen till värdepappersinnehavaren. En behörig kontantlånetransaktion ska uppfylla samtliga följande krav:</w:t>
            </w:r>
          </w:p>
          <w:p w14:paraId="2544528C"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rPr>
              <w:t>a)</w:t>
            </w:r>
            <w:r>
              <w:rPr>
                <w:rFonts w:ascii="Times New Roman" w:hAnsi="Times New Roman"/>
                <w:color w:val="000000"/>
                <w:sz w:val="24"/>
              </w:rPr>
              <w:tab/>
              <w:t>Båda de enskilda transaktioner som ingår i kontantlånetransaktionen ska ske på samma affärsdag eller, när det gäller internationella transaktioner, närliggande affärsdagar.</w:t>
            </w:r>
          </w:p>
          <w:p w14:paraId="491F9748"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rPr>
              <w:t>b)</w:t>
            </w:r>
            <w:r>
              <w:rPr>
                <w:rFonts w:ascii="Times New Roman" w:hAnsi="Times New Roman"/>
                <w:color w:val="000000"/>
                <w:sz w:val="24"/>
              </w:rPr>
              <w:tab/>
              <w:t>Där det inte finns någon specificerad löptid för transaktionerna ska institutet ha den lagliga rätten att sälja ut någon del av kontantlånetransaktionen, dvs. båda transaktionerna, när som helst och utan förvarning.</w:t>
            </w:r>
          </w:p>
          <w:p w14:paraId="5BFB7780"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rPr>
              <w:t>c)</w:t>
            </w:r>
            <w:r>
              <w:rPr>
                <w:rFonts w:ascii="Times New Roman" w:hAnsi="Times New Roman"/>
                <w:color w:val="000000"/>
                <w:sz w:val="24"/>
              </w:rPr>
              <w:tab/>
              <w:t>Där det finns en specificerad löptid för transaktionerna ska inte kontantlånetransaktionen orsaka löptidsobalanser för institutet, och institutet ska ha den lagliga rätten att sälja ut någon del av kontantlånetransaktionen, dvs. båda transaktionerna, när som helst och utan förvarning.</w:t>
            </w:r>
          </w:p>
          <w:p w14:paraId="62CD2905" w14:textId="1AEDC3DC" w:rsidR="00410E47" w:rsidRPr="000B66BC" w:rsidRDefault="00500508" w:rsidP="000B66BC">
            <w:pPr>
              <w:pStyle w:val="Paragraph"/>
              <w:spacing w:after="240"/>
              <w:ind w:left="794" w:hanging="794"/>
              <w:rPr>
                <w:rFonts w:ascii="Times New Roman" w:hAnsi="Times New Roman"/>
                <w:b/>
                <w:bCs/>
                <w:sz w:val="24"/>
                <w:szCs w:val="24"/>
              </w:rPr>
            </w:pPr>
            <w:r>
              <w:rPr>
                <w:rFonts w:ascii="Times New Roman" w:hAnsi="Times New Roman"/>
                <w:sz w:val="24"/>
              </w:rPr>
              <w:t>d)</w:t>
            </w:r>
            <w:r>
              <w:rPr>
                <w:rFonts w:ascii="Times New Roman" w:hAnsi="Times New Roman"/>
                <w:sz w:val="24"/>
              </w:rPr>
              <w:tab/>
              <w:t>Detta ska inte ge upphov till någon ytterligare exponering.</w:t>
            </w:r>
          </w:p>
        </w:tc>
      </w:tr>
      <w:tr w:rsidR="00142881" w:rsidRPr="00E75BB8" w14:paraId="12EB77F9" w14:textId="77777777" w:rsidTr="003B3824">
        <w:tc>
          <w:tcPr>
            <w:tcW w:w="1418" w:type="dxa"/>
          </w:tcPr>
          <w:p w14:paraId="2EC98E8B" w14:textId="4055F8C1" w:rsidR="00142881" w:rsidRPr="000B66BC" w:rsidRDefault="00142881" w:rsidP="000B66BC">
            <w:pPr>
              <w:pStyle w:val="BodyText1"/>
              <w:spacing w:after="240"/>
              <w:rPr>
                <w:rFonts w:ascii="Times New Roman" w:hAnsi="Times New Roman"/>
                <w:bCs/>
                <w:sz w:val="24"/>
                <w:szCs w:val="24"/>
              </w:rPr>
            </w:pPr>
            <w:bookmarkStart w:id="57" w:name="_Toc322687882"/>
            <w:bookmarkEnd w:id="51"/>
            <w:r>
              <w:rPr>
                <w:rFonts w:ascii="Times New Roman" w:hAnsi="Times New Roman"/>
                <w:sz w:val="24"/>
              </w:rPr>
              <w:t>{0270;0010}</w:t>
            </w:r>
          </w:p>
        </w:tc>
        <w:tc>
          <w:tcPr>
            <w:tcW w:w="7620" w:type="dxa"/>
          </w:tcPr>
          <w:p w14:paraId="056E429E" w14:textId="1C4A54EB"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Offentliga investeringar – fordringar på nationella regeringar – redovisat balansräkningsvärde</w:t>
            </w:r>
          </w:p>
          <w:p w14:paraId="62173A01" w14:textId="7BC7EE77" w:rsidR="00474B43" w:rsidRDefault="00142881" w:rsidP="000B66BC">
            <w:pPr>
              <w:pStyle w:val="BodyText1"/>
              <w:spacing w:after="240" w:line="240" w:lineRule="auto"/>
              <w:rPr>
                <w:rFonts w:ascii="Times New Roman" w:hAnsi="Times New Roman"/>
                <w:bCs/>
                <w:sz w:val="24"/>
                <w:szCs w:val="24"/>
              </w:rPr>
            </w:pPr>
            <w:r>
              <w:rPr>
                <w:rFonts w:ascii="Times New Roman" w:hAnsi="Times New Roman"/>
                <w:sz w:val="24"/>
              </w:rPr>
              <w:t xml:space="preserve">Om institutet är ett offentligt utvecklingskreditinstitut: det redovisade balansräkningsvärdet enligt de tillämpliga redovisningsreglerna av tillgångar som utgör fordringar på nationella regeringar i samband med offentliga investeringar </w:t>
            </w:r>
          </w:p>
          <w:p w14:paraId="4B86F17F" w14:textId="318E21E8" w:rsidR="00142881" w:rsidRPr="000B66BC" w:rsidRDefault="007A5EF2" w:rsidP="000B66BC">
            <w:pPr>
              <w:pStyle w:val="BodyText1"/>
              <w:spacing w:after="240" w:line="240" w:lineRule="auto"/>
              <w:rPr>
                <w:rFonts w:ascii="Times New Roman" w:hAnsi="Times New Roman"/>
                <w:b/>
                <w:bCs/>
                <w:sz w:val="24"/>
                <w:szCs w:val="24"/>
              </w:rPr>
            </w:pPr>
            <w:r>
              <w:rPr>
                <w:rFonts w:ascii="Times New Roman" w:hAnsi="Times New Roman"/>
                <w:sz w:val="24"/>
              </w:rPr>
              <w:lastRenderedPageBreak/>
              <w:t>De redovisade balansräkningsvärdena för ett institut som av en behörig myndighet behandlas som ett offentligt utvecklingskreditinstitut i enlighet med artikel 429a.2 sista stycket ska också beaktas.</w:t>
            </w:r>
          </w:p>
        </w:tc>
      </w:tr>
      <w:tr w:rsidR="00142881" w:rsidRPr="00E75BB8" w14:paraId="65A561BA" w14:textId="77777777" w:rsidTr="003B3824">
        <w:tc>
          <w:tcPr>
            <w:tcW w:w="1418" w:type="dxa"/>
          </w:tcPr>
          <w:p w14:paraId="6E6645F9" w14:textId="7051B924" w:rsidR="00142881" w:rsidRPr="000B66BC" w:rsidRDefault="00142881" w:rsidP="000B66BC">
            <w:pPr>
              <w:pStyle w:val="BodyText1"/>
              <w:spacing w:after="240"/>
              <w:rPr>
                <w:rFonts w:ascii="Times New Roman" w:hAnsi="Times New Roman"/>
                <w:bCs/>
                <w:sz w:val="24"/>
                <w:szCs w:val="24"/>
              </w:rPr>
            </w:pPr>
            <w:r>
              <w:rPr>
                <w:rFonts w:ascii="Times New Roman" w:hAnsi="Times New Roman"/>
                <w:sz w:val="24"/>
              </w:rPr>
              <w:lastRenderedPageBreak/>
              <w:t>{0280;0010}</w:t>
            </w:r>
          </w:p>
        </w:tc>
        <w:tc>
          <w:tcPr>
            <w:tcW w:w="7620" w:type="dxa"/>
          </w:tcPr>
          <w:p w14:paraId="64975C56" w14:textId="4DD757EC"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Offentliga investeringar – fordringar på delstatliga självstyrelseorgan – redovisat balansräkningsvärde</w:t>
            </w:r>
          </w:p>
          <w:p w14:paraId="13E2AB70" w14:textId="21F74962"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 xml:space="preserve">Om institutet är ett offentligt utvecklingskreditinstitut: det redovisade balansräkningsvärdet enligt de tillämpliga redovisningsreglerna av tillgångar som utgör fordringar på delstatliga självstyrelseorgan i samband med offentliga investeringar </w:t>
            </w:r>
          </w:p>
          <w:p w14:paraId="440096C8" w14:textId="4D2E5EED"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De redovisade balansräkningsvärdena för ett institut som av en behörig myndighet behandlas som ett offentligt utvecklingskreditinstitut i enlighet med artikel 429a.2 sista stycket ska också beaktas.</w:t>
            </w:r>
          </w:p>
        </w:tc>
      </w:tr>
      <w:tr w:rsidR="00142881" w:rsidRPr="00E75BB8" w14:paraId="178B01CC" w14:textId="77777777" w:rsidTr="003B3824">
        <w:tc>
          <w:tcPr>
            <w:tcW w:w="1418" w:type="dxa"/>
          </w:tcPr>
          <w:p w14:paraId="14A30C11" w14:textId="09FC39C8" w:rsidR="00142881" w:rsidRPr="000B66BC" w:rsidRDefault="00142881" w:rsidP="000B66BC">
            <w:pPr>
              <w:pStyle w:val="BodyText1"/>
              <w:spacing w:after="240"/>
              <w:rPr>
                <w:rFonts w:ascii="Times New Roman" w:hAnsi="Times New Roman"/>
                <w:bCs/>
                <w:sz w:val="24"/>
                <w:szCs w:val="24"/>
              </w:rPr>
            </w:pPr>
            <w:r>
              <w:rPr>
                <w:rFonts w:ascii="Times New Roman" w:hAnsi="Times New Roman"/>
                <w:sz w:val="24"/>
              </w:rPr>
              <w:t>{0290;0010}</w:t>
            </w:r>
          </w:p>
        </w:tc>
        <w:tc>
          <w:tcPr>
            <w:tcW w:w="7620" w:type="dxa"/>
          </w:tcPr>
          <w:p w14:paraId="4E12A671" w14:textId="20EE5DA6"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Offentliga investeringar – fordringar på lokala självstyrelseorgan – redovisat balansräkningsvärde</w:t>
            </w:r>
          </w:p>
          <w:p w14:paraId="1993F59B" w14:textId="77777777"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Om institutet är ett offentligt utvecklingskreditinstitut: det redovisade balansräkningsvärdet enligt de tillämpliga redovisningsreglerna av tillgångar som utgör fordringar på lokala självstyrelseorgan i samband med offentliga investeringar</w:t>
            </w:r>
          </w:p>
          <w:p w14:paraId="3AEC5523" w14:textId="32E213BF"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De redovisade balansräkningsvärdena för ett institut som av en behörig myndighet behandlas som ett offentligt utvecklingskreditinstitut i enlighet med artikel 429a.2 sista stycket ska också beaktas.</w:t>
            </w:r>
          </w:p>
        </w:tc>
      </w:tr>
      <w:tr w:rsidR="00142881" w:rsidRPr="00E75BB8" w14:paraId="6B4A4FFD" w14:textId="77777777" w:rsidTr="003B3824">
        <w:tc>
          <w:tcPr>
            <w:tcW w:w="1418" w:type="dxa"/>
          </w:tcPr>
          <w:p w14:paraId="4AD0C008" w14:textId="06F13C4A" w:rsidR="00142881" w:rsidRPr="000B66BC" w:rsidRDefault="00142881" w:rsidP="000B66BC">
            <w:pPr>
              <w:pStyle w:val="BodyText1"/>
              <w:spacing w:after="240"/>
              <w:rPr>
                <w:rFonts w:ascii="Times New Roman" w:hAnsi="Times New Roman"/>
                <w:bCs/>
                <w:sz w:val="24"/>
                <w:szCs w:val="24"/>
              </w:rPr>
            </w:pPr>
            <w:r>
              <w:rPr>
                <w:rFonts w:ascii="Times New Roman" w:hAnsi="Times New Roman"/>
                <w:sz w:val="24"/>
              </w:rPr>
              <w:t>{0300;0010}</w:t>
            </w:r>
          </w:p>
        </w:tc>
        <w:tc>
          <w:tcPr>
            <w:tcW w:w="7620" w:type="dxa"/>
          </w:tcPr>
          <w:p w14:paraId="00BE052E" w14:textId="3ADFA117" w:rsidR="00142881" w:rsidRPr="000B66BC" w:rsidRDefault="00142881"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Offentliga investeringar – fordringar på offentliga organ – redovisat balansräkningsvärde</w:t>
            </w:r>
          </w:p>
          <w:p w14:paraId="4C818D07" w14:textId="23446733"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Om institutet är ett offentligt utvecklingskreditinstitut: det redovisade balansräkningsvärdet enligt de tillämpliga redovisningsreglerna av tillgångar som utgör fordringar på offentliga organ i samband med offentliga investeringar</w:t>
            </w:r>
          </w:p>
          <w:p w14:paraId="7115C598" w14:textId="32973285"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De redovisade balansräkningsvärdena för den enhet i ett institut som av en behörig myndighet behandlas som ett offentligt utvecklingskreditinstitut i enlighet med artikel 429a.2 sista stycket ska också beaktas.</w:t>
            </w:r>
          </w:p>
        </w:tc>
      </w:tr>
      <w:tr w:rsidR="00D126C3" w:rsidRPr="00E75BB8" w14:paraId="5655180E" w14:textId="77777777" w:rsidTr="00D126C3">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{0310;0010}</w:t>
            </w:r>
          </w:p>
        </w:tc>
        <w:tc>
          <w:tcPr>
            <w:tcW w:w="7620" w:type="dxa"/>
            <w:tcBorders>
              <w:top w:val="single" w:sz="4" w:space="0" w:color="auto"/>
              <w:left w:val="single" w:sz="4" w:space="0" w:color="auto"/>
              <w:bottom w:val="single" w:sz="4" w:space="0" w:color="auto"/>
              <w:right w:val="single" w:sz="4" w:space="0" w:color="auto"/>
            </w:tcBorders>
          </w:tcPr>
          <w:p w14:paraId="0E650077" w14:textId="4AFA1485"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Subventionerade lån – fordringar på nationella regeringar – redovisat balansräkningsvärde</w:t>
            </w:r>
          </w:p>
          <w:p w14:paraId="23369FCD" w14:textId="74E86023" w:rsidR="006E4F4E"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 xml:space="preserve">Om institutet är ett offentligt utvecklingskreditinstitut: det redovisade balansräkningsvärdet enligt de tillämpliga redovisningsreglerna av tillgångar som utgör fordringar på nationella regeringar i samband med subventionerade lån </w:t>
            </w:r>
          </w:p>
          <w:p w14:paraId="57D9B72D" w14:textId="5104929D" w:rsidR="00D126C3" w:rsidRPr="000B66BC" w:rsidRDefault="00D126C3"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lastRenderedPageBreak/>
              <w:t>De redovisade balansräkningsvärdena för den enhet i ett institut som av</w:t>
            </w:r>
            <w:r>
              <w:rPr>
                <w:rFonts w:ascii="Times New Roman" w:hAnsi="Times New Roman"/>
                <w:b/>
                <w:sz w:val="24"/>
              </w:rPr>
              <w:t xml:space="preserve"> </w:t>
            </w:r>
            <w:r>
              <w:rPr>
                <w:rFonts w:ascii="Times New Roman" w:hAnsi="Times New Roman"/>
                <w:sz w:val="24"/>
              </w:rPr>
              <w:t>en behörig myndighet behandlas som ett offentligt utvecklingskreditinstitut i enlighet med artikel 429a.2 sista stycket ska också beaktas.</w:t>
            </w:r>
          </w:p>
        </w:tc>
      </w:tr>
      <w:tr w:rsidR="001E5A9A" w:rsidRPr="00E75BB8" w14:paraId="31EDB1F9" w14:textId="77777777" w:rsidTr="00E631B4">
        <w:tc>
          <w:tcPr>
            <w:tcW w:w="1418" w:type="dxa"/>
          </w:tcPr>
          <w:p w14:paraId="1988C1B5" w14:textId="4DEDEE5A" w:rsidR="001E5A9A" w:rsidRPr="000B66BC" w:rsidRDefault="001E5A9A" w:rsidP="000B66BC">
            <w:pPr>
              <w:pStyle w:val="BodyText1"/>
              <w:spacing w:after="240"/>
              <w:rPr>
                <w:rFonts w:ascii="Times New Roman" w:hAnsi="Times New Roman"/>
                <w:bCs/>
                <w:sz w:val="24"/>
                <w:szCs w:val="24"/>
              </w:rPr>
            </w:pPr>
            <w:r>
              <w:rPr>
                <w:rFonts w:ascii="Times New Roman" w:hAnsi="Times New Roman"/>
                <w:sz w:val="24"/>
              </w:rPr>
              <w:lastRenderedPageBreak/>
              <w:t>{0310;0070}</w:t>
            </w:r>
          </w:p>
        </w:tc>
        <w:tc>
          <w:tcPr>
            <w:tcW w:w="7620" w:type="dxa"/>
          </w:tcPr>
          <w:p w14:paraId="63C478B7" w14:textId="76F217EB" w:rsidR="001E5A9A" w:rsidRPr="000B66BC" w:rsidRDefault="001E5A9A"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Subventionerade lån – fordringar på nationella regeringar – teoretiskt belopp/nominellt värde</w:t>
            </w:r>
          </w:p>
          <w:p w14:paraId="7A0E36C1" w14:textId="77777777" w:rsidR="006E4F4E" w:rsidRDefault="001E5A9A" w:rsidP="000B66BC">
            <w:pPr>
              <w:pStyle w:val="BodyText1"/>
              <w:spacing w:after="240" w:line="240" w:lineRule="auto"/>
              <w:rPr>
                <w:rFonts w:ascii="Times New Roman" w:hAnsi="Times New Roman"/>
                <w:bCs/>
                <w:sz w:val="24"/>
                <w:szCs w:val="24"/>
              </w:rPr>
            </w:pPr>
            <w:r>
              <w:rPr>
                <w:rFonts w:ascii="Times New Roman" w:hAnsi="Times New Roman"/>
                <w:sz w:val="24"/>
              </w:rPr>
              <w:t>Om institutet är ett offentligt utvecklingskreditinstitut: det nominella beloppet för poster utanför balansräkningen i förhållande till den outnyttjade delen av subventionerade lån som beviljats</w:t>
            </w:r>
            <w:r>
              <w:rPr>
                <w:sz w:val="24"/>
              </w:rPr>
              <w:t xml:space="preserve"> </w:t>
            </w:r>
            <w:r>
              <w:rPr>
                <w:rFonts w:ascii="Times New Roman" w:hAnsi="Times New Roman"/>
                <w:sz w:val="24"/>
              </w:rPr>
              <w:t>nationella regeringar</w:t>
            </w:r>
          </w:p>
          <w:p w14:paraId="60CCF55C" w14:textId="65935CC3" w:rsidR="001E5A9A" w:rsidRPr="000B66BC" w:rsidRDefault="001E5A9A" w:rsidP="006E4F4E">
            <w:pPr>
              <w:pStyle w:val="BodyText1"/>
              <w:spacing w:after="240" w:line="240" w:lineRule="auto"/>
              <w:rPr>
                <w:rFonts w:ascii="Times New Roman" w:hAnsi="Times New Roman"/>
                <w:b/>
                <w:bCs/>
                <w:sz w:val="24"/>
                <w:szCs w:val="24"/>
              </w:rPr>
            </w:pPr>
            <w:r>
              <w:rPr>
                <w:rFonts w:ascii="Times New Roman" w:hAnsi="Times New Roman"/>
                <w:sz w:val="24"/>
              </w:rPr>
              <w:t>De nominella beloppen för den enhet i ett institut som av en behörig myndighet behandlas som ett offentligt utvecklingskreditinstitut i enlighet med artikel 429a.2 sista stycket ska också beaktas.</w:t>
            </w:r>
          </w:p>
        </w:tc>
      </w:tr>
      <w:tr w:rsidR="00D126C3" w:rsidRPr="00E75BB8" w14:paraId="4CD3F0D4" w14:textId="77777777" w:rsidTr="00D126C3">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{0320;0010}</w:t>
            </w:r>
          </w:p>
        </w:tc>
        <w:tc>
          <w:tcPr>
            <w:tcW w:w="7620" w:type="dxa"/>
            <w:tcBorders>
              <w:top w:val="single" w:sz="4" w:space="0" w:color="auto"/>
              <w:left w:val="single" w:sz="4" w:space="0" w:color="auto"/>
              <w:bottom w:val="single" w:sz="4" w:space="0" w:color="auto"/>
              <w:right w:val="single" w:sz="4" w:space="0" w:color="auto"/>
            </w:tcBorders>
          </w:tcPr>
          <w:p w14:paraId="5AEC1E03" w14:textId="67E09130" w:rsidR="00D126C3" w:rsidRPr="000B66BC" w:rsidRDefault="003B79B4"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Subventionerade lån – fordringar på delstatliga självstyrelseorgan – redovisat balansräkningsvärde</w:t>
            </w:r>
          </w:p>
          <w:p w14:paraId="23DFAEA6" w14:textId="77777777" w:rsidR="006E4F4E" w:rsidRDefault="00D126C3" w:rsidP="006E4F4E">
            <w:pPr>
              <w:pStyle w:val="BodyText1"/>
              <w:tabs>
                <w:tab w:val="left" w:pos="4755"/>
              </w:tabs>
              <w:spacing w:after="240" w:line="240" w:lineRule="auto"/>
              <w:rPr>
                <w:rFonts w:ascii="Times New Roman" w:hAnsi="Times New Roman"/>
                <w:bCs/>
                <w:sz w:val="24"/>
                <w:szCs w:val="24"/>
              </w:rPr>
            </w:pPr>
            <w:r>
              <w:rPr>
                <w:rFonts w:ascii="Times New Roman" w:hAnsi="Times New Roman"/>
                <w:sz w:val="24"/>
              </w:rPr>
              <w:t>Om institutet är ett offentligt utvecklingskreditinstitut: det redovisade balansräkningsvärdet enligt de tillämpliga redovisningsreglerna av tillgångar som utgör fordringar på delstatliga självstyrelseorgan i samband med subventionerade lån</w:t>
            </w:r>
          </w:p>
          <w:p w14:paraId="5822DF0E" w14:textId="16DA8EF0"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De redovisade balansräkningsvärdena för den enhet i ett institut som av en behörig myndighet behandlas som ett offentligt utvecklingskreditinstitut i enlighet med artikel 429a.2 sista stycket ska också beaktas.</w:t>
            </w:r>
          </w:p>
        </w:tc>
      </w:tr>
      <w:tr w:rsidR="001943A2" w:rsidRPr="00E75BB8" w14:paraId="44874BFB" w14:textId="77777777" w:rsidTr="00E631B4">
        <w:tc>
          <w:tcPr>
            <w:tcW w:w="1418" w:type="dxa"/>
          </w:tcPr>
          <w:p w14:paraId="79CADF8F" w14:textId="0B21C100" w:rsidR="001943A2" w:rsidRPr="000B66BC" w:rsidRDefault="001943A2" w:rsidP="000B66BC">
            <w:pPr>
              <w:pStyle w:val="BodyText1"/>
              <w:spacing w:after="240"/>
              <w:rPr>
                <w:rFonts w:ascii="Times New Roman" w:hAnsi="Times New Roman"/>
                <w:bCs/>
                <w:sz w:val="24"/>
                <w:szCs w:val="24"/>
              </w:rPr>
            </w:pPr>
            <w:r>
              <w:rPr>
                <w:rFonts w:ascii="Times New Roman" w:hAnsi="Times New Roman"/>
                <w:sz w:val="24"/>
              </w:rPr>
              <w:t>{0320;0070}</w:t>
            </w:r>
          </w:p>
        </w:tc>
        <w:tc>
          <w:tcPr>
            <w:tcW w:w="7620" w:type="dxa"/>
          </w:tcPr>
          <w:p w14:paraId="5C83E384" w14:textId="76BED22D"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Subventionerade lån – fordringar på delstatliga självstyrelseorgan – teoretiskt belopp/nominellt värde</w:t>
            </w:r>
          </w:p>
          <w:p w14:paraId="645C841D" w14:textId="1E4EDCB5" w:rsidR="006918E9" w:rsidRDefault="001943A2" w:rsidP="000B66BC">
            <w:pPr>
              <w:pStyle w:val="BodyText1"/>
              <w:spacing w:after="240" w:line="240" w:lineRule="auto"/>
              <w:rPr>
                <w:rFonts w:ascii="Times New Roman" w:hAnsi="Times New Roman"/>
                <w:bCs/>
                <w:sz w:val="24"/>
                <w:szCs w:val="24"/>
              </w:rPr>
            </w:pPr>
            <w:r>
              <w:rPr>
                <w:rFonts w:ascii="Times New Roman" w:hAnsi="Times New Roman"/>
                <w:sz w:val="24"/>
              </w:rPr>
              <w:t>Om institutet är ett offentligt utvecklingskreditinstitut: det nominella beloppet för poster utanför balansräkningen i förhållande till den outnyttjade delen av subventionerade lån som beviljats</w:t>
            </w:r>
            <w:r>
              <w:rPr>
                <w:sz w:val="24"/>
              </w:rPr>
              <w:t xml:space="preserve"> </w:t>
            </w:r>
            <w:r>
              <w:rPr>
                <w:rFonts w:ascii="Times New Roman" w:hAnsi="Times New Roman"/>
                <w:sz w:val="24"/>
              </w:rPr>
              <w:t>delstatliga självstyrelseorgan</w:t>
            </w:r>
          </w:p>
          <w:p w14:paraId="2D66318A" w14:textId="19721B69" w:rsidR="000A486B"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sz w:val="24"/>
              </w:rPr>
              <w:t>De nominella beloppen för den enhet i ett institut som av en behörig myndighet behandlas som ett offentligt utvecklingskreditinstitut i enlighet med artikel 429a.2 sista stycket ska också beaktas.</w:t>
            </w:r>
          </w:p>
        </w:tc>
      </w:tr>
      <w:tr w:rsidR="00D126C3" w:rsidRPr="00E75BB8" w14:paraId="31B79207" w14:textId="77777777" w:rsidTr="00D126C3">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{0330;0010}</w:t>
            </w:r>
          </w:p>
        </w:tc>
        <w:tc>
          <w:tcPr>
            <w:tcW w:w="7620" w:type="dxa"/>
            <w:tcBorders>
              <w:top w:val="single" w:sz="4" w:space="0" w:color="auto"/>
              <w:left w:val="single" w:sz="4" w:space="0" w:color="auto"/>
              <w:bottom w:val="single" w:sz="4" w:space="0" w:color="auto"/>
              <w:right w:val="single" w:sz="4" w:space="0" w:color="auto"/>
            </w:tcBorders>
          </w:tcPr>
          <w:p w14:paraId="10A9D422" w14:textId="267967C6"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Subventionerade lån – fordringar på lokala självstyrelseorgan – redovisat balansräkningsvärde</w:t>
            </w:r>
          </w:p>
          <w:p w14:paraId="04327041" w14:textId="6CF71B42" w:rsidR="006918E9"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Om institutet är ett offentligt utvecklingskreditinstitut: det redovisade balansräkningsvärdet enligt de tillämpliga redovisningsreglerna av tillgångar som utgör fordringar på lokala självstyrelseorgan i samband med subventionerade lån</w:t>
            </w:r>
          </w:p>
          <w:p w14:paraId="3B5B1EC0" w14:textId="304F0DBC"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De redovisade balansräkningsvärdena för den enhet i ett institut som av en behörig myndighet behandlas som ett offentligt utvecklingskreditinstitut i enlighet med artikel 429a.2 sista stycket ska också beaktas.</w:t>
            </w:r>
          </w:p>
        </w:tc>
      </w:tr>
      <w:tr w:rsidR="001943A2" w:rsidRPr="00E75BB8" w14:paraId="0ABE486A" w14:textId="77777777" w:rsidTr="00E631B4">
        <w:tc>
          <w:tcPr>
            <w:tcW w:w="1418" w:type="dxa"/>
          </w:tcPr>
          <w:p w14:paraId="6A69EE0F" w14:textId="4A68D204" w:rsidR="001943A2" w:rsidRPr="000B66BC" w:rsidRDefault="001943A2" w:rsidP="000B66BC">
            <w:pPr>
              <w:pStyle w:val="BodyText1"/>
              <w:spacing w:after="240"/>
              <w:rPr>
                <w:rFonts w:ascii="Times New Roman" w:hAnsi="Times New Roman"/>
                <w:bCs/>
                <w:sz w:val="24"/>
                <w:szCs w:val="24"/>
              </w:rPr>
            </w:pPr>
            <w:r>
              <w:rPr>
                <w:rFonts w:ascii="Times New Roman" w:hAnsi="Times New Roman"/>
                <w:sz w:val="24"/>
              </w:rPr>
              <w:lastRenderedPageBreak/>
              <w:t>{0330;0070}</w:t>
            </w:r>
          </w:p>
        </w:tc>
        <w:tc>
          <w:tcPr>
            <w:tcW w:w="7620" w:type="dxa"/>
          </w:tcPr>
          <w:p w14:paraId="0211D136" w14:textId="747BD7FE"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Subventionerade lån – fordringar på lokala självstyrelseorgan – teoretiskt belopp/nominellt värde</w:t>
            </w:r>
          </w:p>
          <w:p w14:paraId="38BCF0DC" w14:textId="6D975688" w:rsidR="006918E9" w:rsidRDefault="001943A2" w:rsidP="000B66BC">
            <w:pPr>
              <w:pStyle w:val="BodyText1"/>
              <w:spacing w:after="240" w:line="240" w:lineRule="auto"/>
              <w:rPr>
                <w:rFonts w:ascii="Times New Roman" w:hAnsi="Times New Roman"/>
                <w:bCs/>
                <w:sz w:val="24"/>
                <w:szCs w:val="24"/>
              </w:rPr>
            </w:pPr>
            <w:r>
              <w:rPr>
                <w:rFonts w:ascii="Times New Roman" w:hAnsi="Times New Roman"/>
                <w:sz w:val="24"/>
              </w:rPr>
              <w:t>Om institutet är ett offentligt utvecklingskreditinstitut: det nominella beloppet för poster utanför balansräkningen i förhållande till den outnyttjade delen av subventionerade lån som beviljats</w:t>
            </w:r>
            <w:r>
              <w:rPr>
                <w:sz w:val="24"/>
              </w:rPr>
              <w:t xml:space="preserve"> </w:t>
            </w:r>
            <w:r>
              <w:rPr>
                <w:rFonts w:ascii="Times New Roman" w:hAnsi="Times New Roman"/>
                <w:sz w:val="24"/>
              </w:rPr>
              <w:t>lokala självstyrelseorgan</w:t>
            </w:r>
          </w:p>
          <w:p w14:paraId="4054A803" w14:textId="7D1F66F0" w:rsidR="001943A2" w:rsidRPr="000B66BC" w:rsidRDefault="001943A2" w:rsidP="000B66BC">
            <w:pPr>
              <w:pStyle w:val="BodyText1"/>
              <w:spacing w:after="240" w:line="240" w:lineRule="auto"/>
              <w:rPr>
                <w:rFonts w:ascii="Times New Roman" w:hAnsi="Times New Roman"/>
                <w:b/>
                <w:bCs/>
                <w:sz w:val="24"/>
                <w:szCs w:val="24"/>
              </w:rPr>
            </w:pPr>
            <w:r>
              <w:rPr>
                <w:rFonts w:ascii="Times New Roman" w:hAnsi="Times New Roman"/>
                <w:sz w:val="24"/>
              </w:rPr>
              <w:t>De nominella beloppen för den enhet i ett institut som av en behörig myndighet behandlas som ett offentligt utvecklingskreditinstitut i enlighet med artikel 429a.2 sista stycket ska också beaktas.</w:t>
            </w:r>
          </w:p>
        </w:tc>
      </w:tr>
      <w:tr w:rsidR="00D126C3" w:rsidRPr="00E75BB8" w14:paraId="7024E473" w14:textId="77777777" w:rsidTr="00D126C3">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{0340;0010}</w:t>
            </w:r>
          </w:p>
        </w:tc>
        <w:tc>
          <w:tcPr>
            <w:tcW w:w="7620" w:type="dxa"/>
            <w:tcBorders>
              <w:top w:val="single" w:sz="4" w:space="0" w:color="auto"/>
              <w:left w:val="single" w:sz="4" w:space="0" w:color="auto"/>
              <w:bottom w:val="single" w:sz="4" w:space="0" w:color="auto"/>
              <w:right w:val="single" w:sz="4" w:space="0" w:color="auto"/>
            </w:tcBorders>
          </w:tcPr>
          <w:p w14:paraId="5AA9403F" w14:textId="5A0EBB01"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Subventionerade lån – fordringar på offentliga organ – redovisat balansräkningsvärde</w:t>
            </w:r>
          </w:p>
          <w:p w14:paraId="01C18437" w14:textId="77777777" w:rsidR="006918E9" w:rsidRDefault="00D126C3" w:rsidP="006918E9">
            <w:pPr>
              <w:pStyle w:val="BodyText1"/>
              <w:tabs>
                <w:tab w:val="left" w:pos="4755"/>
              </w:tabs>
              <w:spacing w:after="240" w:line="240" w:lineRule="auto"/>
              <w:rPr>
                <w:rFonts w:ascii="Times New Roman" w:hAnsi="Times New Roman"/>
                <w:bCs/>
                <w:sz w:val="24"/>
                <w:szCs w:val="24"/>
              </w:rPr>
            </w:pPr>
            <w:r>
              <w:rPr>
                <w:rFonts w:ascii="Times New Roman" w:hAnsi="Times New Roman"/>
                <w:sz w:val="24"/>
              </w:rPr>
              <w:t>Om institutet är ett offentligt utvecklingskreditinstitut: det redovisade balansräkningsvärdet enligt de tillämpliga redovisningsreglerna av tillgångar som utgör fordringar på offentliga organ i samband med subventionerade lån</w:t>
            </w:r>
          </w:p>
          <w:p w14:paraId="271873F2" w14:textId="69D63A33"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De redovisade balansräkningsvärdena för den enhet i ett institut som av en behörig myndighet behandlas som ett offentligt utvecklingskreditinstitut i enlighet med artikel 429a.2 sista stycket ska också beaktas.</w:t>
            </w:r>
          </w:p>
        </w:tc>
      </w:tr>
      <w:tr w:rsidR="001943A2" w:rsidRPr="00E75BB8" w14:paraId="5E7DDD36" w14:textId="77777777" w:rsidTr="00E631B4">
        <w:tc>
          <w:tcPr>
            <w:tcW w:w="1418" w:type="dxa"/>
          </w:tcPr>
          <w:p w14:paraId="525D124D" w14:textId="765B9FDB" w:rsidR="001943A2" w:rsidRPr="000B66BC" w:rsidRDefault="001943A2" w:rsidP="000B66BC">
            <w:pPr>
              <w:pStyle w:val="BodyText1"/>
              <w:spacing w:after="240"/>
              <w:rPr>
                <w:rFonts w:ascii="Times New Roman" w:hAnsi="Times New Roman"/>
                <w:bCs/>
                <w:sz w:val="24"/>
                <w:szCs w:val="24"/>
              </w:rPr>
            </w:pPr>
            <w:r>
              <w:rPr>
                <w:rFonts w:ascii="Times New Roman" w:hAnsi="Times New Roman"/>
                <w:sz w:val="24"/>
              </w:rPr>
              <w:t>{0340;0070}</w:t>
            </w:r>
          </w:p>
        </w:tc>
        <w:tc>
          <w:tcPr>
            <w:tcW w:w="7620" w:type="dxa"/>
          </w:tcPr>
          <w:p w14:paraId="6383FA4C" w14:textId="78CEFFA7"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Subventionerade lån – fordringar på offentliga organ – teoretiskt belopp/nominellt värde</w:t>
            </w:r>
          </w:p>
          <w:p w14:paraId="5C047141" w14:textId="77777777" w:rsidR="006918E9" w:rsidRDefault="001943A2" w:rsidP="006918E9">
            <w:pPr>
              <w:pStyle w:val="BodyText1"/>
              <w:spacing w:after="240" w:line="240" w:lineRule="auto"/>
              <w:rPr>
                <w:rFonts w:ascii="Times New Roman" w:hAnsi="Times New Roman"/>
                <w:bCs/>
                <w:sz w:val="24"/>
                <w:szCs w:val="24"/>
              </w:rPr>
            </w:pPr>
            <w:r>
              <w:rPr>
                <w:rFonts w:ascii="Times New Roman" w:hAnsi="Times New Roman"/>
                <w:sz w:val="24"/>
              </w:rPr>
              <w:t>Om institutet är ett offentligt utvecklingskreditinstitut: det nominella beloppet för poster utanför balansräkningen i förhållande till den outnyttjade delen av subventionerade lån som beviljats</w:t>
            </w:r>
            <w:r>
              <w:rPr>
                <w:sz w:val="24"/>
              </w:rPr>
              <w:t xml:space="preserve"> </w:t>
            </w:r>
            <w:r>
              <w:rPr>
                <w:rFonts w:ascii="Times New Roman" w:hAnsi="Times New Roman"/>
                <w:sz w:val="24"/>
              </w:rPr>
              <w:t>offentliga organ</w:t>
            </w:r>
          </w:p>
          <w:p w14:paraId="28AF0C76" w14:textId="43B760BA" w:rsidR="001943A2"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sz w:val="24"/>
              </w:rPr>
              <w:t>De nominella beloppen för den enhet i ett institut som av en behörig myndighet behandlas som ett offentligt utvecklingskreditinstitut i enlighet med artikel 429a.2 sista stycket ska också beaktas.</w:t>
            </w:r>
          </w:p>
        </w:tc>
      </w:tr>
      <w:tr w:rsidR="00462408" w:rsidRPr="00E75BB8" w14:paraId="29DF5E7A" w14:textId="77777777" w:rsidTr="00E631B4">
        <w:tc>
          <w:tcPr>
            <w:tcW w:w="1418" w:type="dxa"/>
          </w:tcPr>
          <w:p w14:paraId="1D9C525C" w14:textId="680B64DF" w:rsidR="00462408" w:rsidRPr="000B66BC" w:rsidRDefault="00462408" w:rsidP="000B66BC">
            <w:pPr>
              <w:pStyle w:val="BodyText1"/>
              <w:spacing w:after="240"/>
              <w:rPr>
                <w:rFonts w:ascii="Times New Roman" w:hAnsi="Times New Roman"/>
                <w:bCs/>
                <w:sz w:val="24"/>
                <w:szCs w:val="24"/>
              </w:rPr>
            </w:pPr>
            <w:r>
              <w:rPr>
                <w:rFonts w:ascii="Times New Roman" w:hAnsi="Times New Roman"/>
                <w:sz w:val="24"/>
              </w:rPr>
              <w:t>{0350;0010}</w:t>
            </w:r>
          </w:p>
        </w:tc>
        <w:tc>
          <w:tcPr>
            <w:tcW w:w="7620" w:type="dxa"/>
          </w:tcPr>
          <w:p w14:paraId="3CAFC6DC" w14:textId="096127A3"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Subventionerade lån – fordringar på icke-finansiella företag – redovisat balansräkningsvärde</w:t>
            </w:r>
          </w:p>
          <w:p w14:paraId="38EC1D3F"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sz w:val="24"/>
              </w:rPr>
              <w:t>Om institutet är ett offentligt utvecklingskreditinstitut: det redovisade balansräkningsvärdet enligt de tillämpliga redovisningsreglerna av tillgångar som utgör fordringar på icke-finansiella företag i samband med subventionerade lån</w:t>
            </w:r>
          </w:p>
          <w:p w14:paraId="6BF179ED" w14:textId="2C4CB2A0"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sz w:val="24"/>
              </w:rPr>
              <w:t>De redovisade balansräkningsvärdena för den enhet i ett institut som av en behörig myndighet behandlas som ett offentligt utvecklingskreditinstitut i enlighet med artikel 429a.2 sista stycket ska också beaktas.</w:t>
            </w:r>
          </w:p>
        </w:tc>
      </w:tr>
      <w:tr w:rsidR="00A7136D" w:rsidRPr="00E75BB8" w14:paraId="12870EEF" w14:textId="77777777" w:rsidTr="00E631B4">
        <w:tc>
          <w:tcPr>
            <w:tcW w:w="1418" w:type="dxa"/>
          </w:tcPr>
          <w:p w14:paraId="79383F04" w14:textId="29554F65" w:rsidR="00A7136D" w:rsidRPr="000B66BC" w:rsidRDefault="00A7136D" w:rsidP="000B66BC">
            <w:pPr>
              <w:pStyle w:val="BodyText1"/>
              <w:spacing w:after="240"/>
              <w:rPr>
                <w:rFonts w:ascii="Times New Roman" w:hAnsi="Times New Roman"/>
                <w:bCs/>
                <w:sz w:val="24"/>
                <w:szCs w:val="24"/>
              </w:rPr>
            </w:pPr>
            <w:r>
              <w:rPr>
                <w:rFonts w:ascii="Times New Roman" w:hAnsi="Times New Roman"/>
                <w:sz w:val="24"/>
              </w:rPr>
              <w:t>{0350;0070}</w:t>
            </w:r>
          </w:p>
        </w:tc>
        <w:tc>
          <w:tcPr>
            <w:tcW w:w="7620" w:type="dxa"/>
          </w:tcPr>
          <w:p w14:paraId="26540368" w14:textId="2C1D23F7" w:rsidR="00A7136D" w:rsidRPr="000B66BC" w:rsidRDefault="00A7136D"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Subventionerade lån – fordringar på icke-finansiella företag – teoretiskt belopp/nominellt värde</w:t>
            </w:r>
          </w:p>
          <w:p w14:paraId="054BF407" w14:textId="212AEBBD" w:rsidR="00A7136D" w:rsidRPr="000B66BC" w:rsidRDefault="00A7136D"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Om institutet är ett offentligt utvecklingskreditinstitut: det nominella beloppet för poster utanför balansräkningen i förhållande till den outnyttjade delen av subventionerade lån som beviljats</w:t>
            </w:r>
            <w:r>
              <w:rPr>
                <w:sz w:val="24"/>
              </w:rPr>
              <w:t xml:space="preserve"> </w:t>
            </w:r>
            <w:r>
              <w:rPr>
                <w:rFonts w:ascii="Times New Roman" w:hAnsi="Times New Roman"/>
                <w:sz w:val="24"/>
              </w:rPr>
              <w:t>icke-finansiella företag</w:t>
            </w:r>
          </w:p>
          <w:p w14:paraId="41A92F44" w14:textId="7D39B959" w:rsidR="00A7136D" w:rsidRPr="000B66BC" w:rsidRDefault="00A7136D" w:rsidP="006918E9">
            <w:pPr>
              <w:pStyle w:val="BodyText1"/>
              <w:spacing w:after="240" w:line="240" w:lineRule="auto"/>
              <w:rPr>
                <w:rFonts w:ascii="Times New Roman" w:hAnsi="Times New Roman"/>
                <w:b/>
                <w:bCs/>
                <w:sz w:val="24"/>
                <w:szCs w:val="24"/>
              </w:rPr>
            </w:pPr>
            <w:r>
              <w:rPr>
                <w:rFonts w:ascii="Times New Roman" w:hAnsi="Times New Roman"/>
                <w:sz w:val="24"/>
              </w:rPr>
              <w:t>De nominella beloppen för den enhet i ett institut som av en behörig myndighet behandlas som ett offentligt utvecklingskreditinstitut i enlighet med artikel 429a.2 sista stycket ska också beaktas.</w:t>
            </w:r>
          </w:p>
        </w:tc>
      </w:tr>
      <w:tr w:rsidR="00462408" w:rsidRPr="00E75BB8" w14:paraId="1F6E7CB4" w14:textId="77777777" w:rsidTr="00E631B4">
        <w:tc>
          <w:tcPr>
            <w:tcW w:w="1418" w:type="dxa"/>
          </w:tcPr>
          <w:p w14:paraId="6254A862" w14:textId="004992BC" w:rsidR="00462408" w:rsidRPr="000B66BC" w:rsidRDefault="00462408" w:rsidP="000B66BC">
            <w:pPr>
              <w:pStyle w:val="BodyText1"/>
              <w:spacing w:after="240"/>
              <w:rPr>
                <w:rFonts w:ascii="Times New Roman" w:hAnsi="Times New Roman"/>
                <w:bCs/>
                <w:sz w:val="24"/>
                <w:szCs w:val="24"/>
              </w:rPr>
            </w:pPr>
            <w:r>
              <w:rPr>
                <w:rFonts w:ascii="Times New Roman" w:hAnsi="Times New Roman"/>
                <w:sz w:val="24"/>
              </w:rPr>
              <w:lastRenderedPageBreak/>
              <w:t>{0360;0010}</w:t>
            </w:r>
          </w:p>
        </w:tc>
        <w:tc>
          <w:tcPr>
            <w:tcW w:w="7620" w:type="dxa"/>
          </w:tcPr>
          <w:p w14:paraId="1C554FC7" w14:textId="1F3CBF52"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Subventionerade lån – fordringar på hushåll – redovisat balansräkningsvärde</w:t>
            </w:r>
          </w:p>
          <w:p w14:paraId="55D67008"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sz w:val="24"/>
              </w:rPr>
              <w:t>Om institutet är ett offentligt utvecklingskreditinstitut: det redovisade balansräkningsvärdet enligt de tillämpliga redovisningsreglerna av tillgångar som utgör fordringar på hushåll i samband med subventionerade lån</w:t>
            </w:r>
          </w:p>
          <w:p w14:paraId="77B96BEE" w14:textId="794E8F25"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sz w:val="24"/>
              </w:rPr>
              <w:t>De redovisade balansräkningsvärdena för den enhet i ett institut som av en behörig myndighet behandlas som ett offentligt utvecklingskreditinstitut i enlighet med artikel 429a.2 sista stycket ska också beaktas.</w:t>
            </w:r>
          </w:p>
        </w:tc>
      </w:tr>
      <w:tr w:rsidR="00D126C3" w:rsidRPr="00E75BB8" w14:paraId="18F55D0D" w14:textId="77777777" w:rsidTr="00E631B4">
        <w:tc>
          <w:tcPr>
            <w:tcW w:w="1418" w:type="dxa"/>
          </w:tcPr>
          <w:p w14:paraId="6CB2C6F3" w14:textId="0D17F3B9"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{0360;0070}</w:t>
            </w:r>
          </w:p>
        </w:tc>
        <w:tc>
          <w:tcPr>
            <w:tcW w:w="7620" w:type="dxa"/>
          </w:tcPr>
          <w:p w14:paraId="5FFB5CC5" w14:textId="0AFA9088" w:rsidR="00D126C3" w:rsidRPr="000B66BC" w:rsidRDefault="00D126C3"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Subventionerade lån – fordringar på hushåll – teoretiskt belopp/nominellt värde</w:t>
            </w:r>
          </w:p>
          <w:p w14:paraId="5C098B17" w14:textId="561EFEA4" w:rsidR="00D126C3" w:rsidRPr="000B66BC" w:rsidRDefault="00D126C3" w:rsidP="000B66BC">
            <w:pPr>
              <w:pStyle w:val="BodyText1"/>
              <w:spacing w:after="240" w:line="240" w:lineRule="auto"/>
              <w:rPr>
                <w:rFonts w:ascii="Times New Roman" w:hAnsi="Times New Roman"/>
                <w:bCs/>
                <w:sz w:val="24"/>
                <w:szCs w:val="24"/>
              </w:rPr>
            </w:pPr>
            <w:r>
              <w:rPr>
                <w:rFonts w:ascii="Times New Roman" w:hAnsi="Times New Roman"/>
                <w:sz w:val="24"/>
              </w:rPr>
              <w:t>Om institutet är ett offentligt utvecklingskreditinstitut: det nominella beloppet för poster utanför balansräkningen i förhållande till den outnyttjade delen av subventionerade lån som beviljats</w:t>
            </w:r>
            <w:r>
              <w:rPr>
                <w:sz w:val="24"/>
              </w:rPr>
              <w:t xml:space="preserve"> </w:t>
            </w:r>
            <w:r>
              <w:rPr>
                <w:rFonts w:ascii="Times New Roman" w:hAnsi="Times New Roman"/>
                <w:sz w:val="24"/>
              </w:rPr>
              <w:t>hushåll</w:t>
            </w:r>
          </w:p>
          <w:p w14:paraId="635041B3" w14:textId="7B16BC5F" w:rsidR="00D126C3" w:rsidRPr="000B66BC" w:rsidRDefault="00D126C3" w:rsidP="006918E9">
            <w:pPr>
              <w:pStyle w:val="BodyText1"/>
              <w:spacing w:after="240" w:line="240" w:lineRule="auto"/>
              <w:rPr>
                <w:rFonts w:ascii="Times New Roman" w:hAnsi="Times New Roman"/>
                <w:b/>
                <w:bCs/>
                <w:sz w:val="24"/>
                <w:szCs w:val="24"/>
              </w:rPr>
            </w:pPr>
            <w:r>
              <w:rPr>
                <w:rFonts w:ascii="Times New Roman" w:hAnsi="Times New Roman"/>
                <w:sz w:val="24"/>
              </w:rPr>
              <w:t>De nominella beloppen för den enhet i ett institut som av en behörig myndighet behandlas som ett offentligt utvecklingskreditinstitut i enlighet med artikel 429a.2 sista stycket ska också beaktas.</w:t>
            </w:r>
          </w:p>
        </w:tc>
      </w:tr>
      <w:tr w:rsidR="00462408" w:rsidRPr="00E75BB8" w14:paraId="44E1C677" w14:textId="77777777" w:rsidTr="00E631B4">
        <w:tc>
          <w:tcPr>
            <w:tcW w:w="1418" w:type="dxa"/>
          </w:tcPr>
          <w:p w14:paraId="17FF7A37" w14:textId="4D384D9C" w:rsidR="00462408" w:rsidRPr="000B66BC" w:rsidRDefault="00462408" w:rsidP="000B66BC">
            <w:pPr>
              <w:pStyle w:val="BodyText1"/>
              <w:spacing w:after="240"/>
              <w:rPr>
                <w:rFonts w:ascii="Times New Roman" w:hAnsi="Times New Roman"/>
                <w:bCs/>
                <w:sz w:val="24"/>
                <w:szCs w:val="24"/>
              </w:rPr>
            </w:pPr>
            <w:r>
              <w:rPr>
                <w:rFonts w:ascii="Times New Roman" w:hAnsi="Times New Roman"/>
                <w:sz w:val="24"/>
              </w:rPr>
              <w:t>{0370;0010}</w:t>
            </w:r>
          </w:p>
        </w:tc>
        <w:tc>
          <w:tcPr>
            <w:tcW w:w="7620" w:type="dxa"/>
          </w:tcPr>
          <w:p w14:paraId="3F005630" w14:textId="77777777" w:rsidR="00462408" w:rsidRPr="000B66BC" w:rsidRDefault="0046240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Subventionerade lån – förmedling (</w:t>
            </w:r>
            <w:proofErr w:type="spellStart"/>
            <w:r>
              <w:rPr>
                <w:rFonts w:ascii="Times New Roman" w:hAnsi="Times New Roman"/>
                <w:b/>
                <w:sz w:val="24"/>
              </w:rPr>
              <w:t>passing-through</w:t>
            </w:r>
            <w:proofErr w:type="spellEnd"/>
            <w:r>
              <w:rPr>
                <w:rFonts w:ascii="Times New Roman" w:hAnsi="Times New Roman"/>
                <w:b/>
                <w:sz w:val="24"/>
              </w:rPr>
              <w:t>) –</w:t>
            </w:r>
            <w:r>
              <w:rPr>
                <w:sz w:val="24"/>
              </w:rPr>
              <w:t xml:space="preserve"> </w:t>
            </w:r>
            <w:r>
              <w:rPr>
                <w:rFonts w:ascii="Times New Roman" w:hAnsi="Times New Roman"/>
                <w:b/>
                <w:sz w:val="24"/>
              </w:rPr>
              <w:t>redovisat balansräkningsvärde</w:t>
            </w:r>
          </w:p>
          <w:p w14:paraId="77AE875C" w14:textId="77777777" w:rsidR="006918E9" w:rsidRDefault="00462408" w:rsidP="006918E9">
            <w:pPr>
              <w:pStyle w:val="BodyText1"/>
              <w:spacing w:after="240" w:line="240" w:lineRule="auto"/>
              <w:rPr>
                <w:rFonts w:ascii="Times New Roman" w:hAnsi="Times New Roman"/>
                <w:color w:val="auto"/>
                <w:sz w:val="24"/>
                <w:szCs w:val="24"/>
              </w:rPr>
            </w:pPr>
            <w:r>
              <w:rPr>
                <w:rFonts w:ascii="Times New Roman" w:hAnsi="Times New Roman"/>
                <w:sz w:val="24"/>
              </w:rPr>
              <w:t xml:space="preserve">Om institutet är ett offentligt utvecklingskreditinstitut: </w:t>
            </w:r>
            <w:r>
              <w:rPr>
                <w:rFonts w:ascii="Times New Roman" w:hAnsi="Times New Roman"/>
                <w:color w:val="auto"/>
                <w:sz w:val="24"/>
              </w:rPr>
              <w:t xml:space="preserve">det </w:t>
            </w:r>
            <w:r>
              <w:rPr>
                <w:rFonts w:ascii="Times New Roman" w:hAnsi="Times New Roman"/>
                <w:sz w:val="24"/>
              </w:rPr>
              <w:t>redovisade balansräkningsvärdet enligt de tillämpliga redovisningsreglerna</w:t>
            </w:r>
            <w:r>
              <w:rPr>
                <w:rFonts w:ascii="Times New Roman" w:hAnsi="Times New Roman"/>
                <w:color w:val="auto"/>
                <w:sz w:val="24"/>
              </w:rPr>
              <w:t xml:space="preserve"> av förmedling (</w:t>
            </w:r>
            <w:proofErr w:type="spellStart"/>
            <w:r>
              <w:rPr>
                <w:rFonts w:ascii="Times New Roman" w:hAnsi="Times New Roman"/>
                <w:color w:val="auto"/>
                <w:sz w:val="24"/>
              </w:rPr>
              <w:t>passing-through</w:t>
            </w:r>
            <w:proofErr w:type="spellEnd"/>
            <w:r>
              <w:rPr>
                <w:rFonts w:ascii="Times New Roman" w:hAnsi="Times New Roman"/>
                <w:color w:val="auto"/>
                <w:sz w:val="24"/>
              </w:rPr>
              <w:t>) av subventionerade lån när lånen inte har beviljats av institutet själv</w:t>
            </w:r>
          </w:p>
          <w:p w14:paraId="13D74794" w14:textId="2A0E0A51"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sz w:val="24"/>
              </w:rPr>
              <w:t>De redovisade balansräkningsvärdena för den enhet i ett institut som av en behörig myndighet behandlas som ett offentligt utvecklingskreditinstitut i enlighet med artikel 429a.2 sista stycket ska också beaktas.</w:t>
            </w:r>
          </w:p>
        </w:tc>
      </w:tr>
      <w:tr w:rsidR="004A107B" w:rsidRPr="00E75BB8" w14:paraId="09331359" w14:textId="77777777" w:rsidTr="00E631B4">
        <w:tc>
          <w:tcPr>
            <w:tcW w:w="1418" w:type="dxa"/>
          </w:tcPr>
          <w:p w14:paraId="073777C0" w14:textId="772CDEDA" w:rsidR="004A107B" w:rsidRPr="000B66BC" w:rsidRDefault="004A107B" w:rsidP="000B66BC">
            <w:pPr>
              <w:pStyle w:val="BodyText1"/>
              <w:spacing w:after="240"/>
              <w:rPr>
                <w:rFonts w:ascii="Times New Roman" w:hAnsi="Times New Roman"/>
                <w:bCs/>
                <w:sz w:val="24"/>
                <w:szCs w:val="24"/>
                <w:highlight w:val="yellow"/>
              </w:rPr>
            </w:pPr>
            <w:r>
              <w:rPr>
                <w:rFonts w:ascii="Times New Roman" w:hAnsi="Times New Roman"/>
                <w:sz w:val="24"/>
              </w:rPr>
              <w:t>{0370;0070}</w:t>
            </w:r>
          </w:p>
        </w:tc>
        <w:tc>
          <w:tcPr>
            <w:tcW w:w="7620" w:type="dxa"/>
          </w:tcPr>
          <w:p w14:paraId="0CA54233" w14:textId="2370225D" w:rsidR="004A107B" w:rsidRPr="000B66BC" w:rsidRDefault="004A107B"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Subventionerade lån – förmedling (</w:t>
            </w:r>
            <w:proofErr w:type="spellStart"/>
            <w:r>
              <w:rPr>
                <w:rFonts w:ascii="Times New Roman" w:hAnsi="Times New Roman"/>
                <w:b/>
                <w:sz w:val="24"/>
              </w:rPr>
              <w:t>passing-through</w:t>
            </w:r>
            <w:proofErr w:type="spellEnd"/>
            <w:r>
              <w:rPr>
                <w:rFonts w:ascii="Times New Roman" w:hAnsi="Times New Roman"/>
                <w:b/>
                <w:sz w:val="24"/>
              </w:rPr>
              <w:t>) –</w:t>
            </w:r>
            <w:r>
              <w:rPr>
                <w:sz w:val="24"/>
              </w:rPr>
              <w:t xml:space="preserve"> </w:t>
            </w:r>
            <w:r>
              <w:rPr>
                <w:rFonts w:ascii="Times New Roman" w:hAnsi="Times New Roman"/>
                <w:b/>
                <w:sz w:val="24"/>
              </w:rPr>
              <w:t>teoretiskt belopp/nominellt värde</w:t>
            </w:r>
          </w:p>
          <w:p w14:paraId="67DCF513" w14:textId="77777777" w:rsidR="006918E9" w:rsidRDefault="004A107B" w:rsidP="006918E9">
            <w:pPr>
              <w:pStyle w:val="BodyText1"/>
              <w:spacing w:after="240" w:line="240" w:lineRule="auto"/>
              <w:rPr>
                <w:rFonts w:ascii="Times New Roman" w:hAnsi="Times New Roman"/>
                <w:color w:val="auto"/>
                <w:sz w:val="24"/>
                <w:szCs w:val="24"/>
              </w:rPr>
            </w:pPr>
            <w:r>
              <w:rPr>
                <w:rFonts w:ascii="Times New Roman" w:hAnsi="Times New Roman"/>
                <w:sz w:val="24"/>
              </w:rPr>
              <w:t xml:space="preserve">Om institutet är ett offentligt utvecklingskreditinstitut: </w:t>
            </w:r>
            <w:r>
              <w:rPr>
                <w:rFonts w:ascii="Times New Roman" w:hAnsi="Times New Roman"/>
                <w:color w:val="auto"/>
                <w:sz w:val="24"/>
              </w:rPr>
              <w:t xml:space="preserve">det </w:t>
            </w:r>
            <w:r>
              <w:rPr>
                <w:rFonts w:ascii="Times New Roman" w:hAnsi="Times New Roman"/>
                <w:sz w:val="24"/>
              </w:rPr>
              <w:t>nominella beloppet för poster utanför balansräkningen i förhållande till den outnyttjade delen</w:t>
            </w:r>
            <w:r>
              <w:rPr>
                <w:rFonts w:ascii="Times New Roman" w:hAnsi="Times New Roman"/>
                <w:color w:val="auto"/>
                <w:sz w:val="24"/>
              </w:rPr>
              <w:t xml:space="preserve"> av förmedling (</w:t>
            </w:r>
            <w:proofErr w:type="spellStart"/>
            <w:r>
              <w:rPr>
                <w:rFonts w:ascii="Times New Roman" w:hAnsi="Times New Roman"/>
                <w:color w:val="auto"/>
                <w:sz w:val="24"/>
              </w:rPr>
              <w:t>passing-through</w:t>
            </w:r>
            <w:proofErr w:type="spellEnd"/>
            <w:r>
              <w:rPr>
                <w:rFonts w:ascii="Times New Roman" w:hAnsi="Times New Roman"/>
                <w:color w:val="auto"/>
                <w:sz w:val="24"/>
              </w:rPr>
              <w:t>) av subventionerade lån när lånen inte har beviljats av institutet själv</w:t>
            </w:r>
          </w:p>
          <w:p w14:paraId="75F9BF76" w14:textId="0F97AE35" w:rsidR="004A107B" w:rsidRPr="000B66BC" w:rsidRDefault="0033642B" w:rsidP="006918E9">
            <w:pPr>
              <w:pStyle w:val="BodyText1"/>
              <w:spacing w:after="240" w:line="240" w:lineRule="auto"/>
              <w:rPr>
                <w:rFonts w:ascii="Times New Roman" w:hAnsi="Times New Roman"/>
                <w:b/>
                <w:bCs/>
                <w:sz w:val="24"/>
                <w:szCs w:val="24"/>
              </w:rPr>
            </w:pPr>
            <w:r>
              <w:rPr>
                <w:rFonts w:ascii="Times New Roman" w:hAnsi="Times New Roman"/>
                <w:sz w:val="24"/>
              </w:rPr>
              <w:lastRenderedPageBreak/>
              <w:t>De nominella beloppen för den enhet i ett institut som av en behörig myndighet behandlas som ett offentligt utvecklingskreditinstitut i enlighet med artikel 429a.2 sista stycket ska också beaktas.</w:t>
            </w:r>
          </w:p>
        </w:tc>
      </w:tr>
      <w:tr w:rsidR="00703CC2" w:rsidRPr="00E75BB8" w14:paraId="5432666E" w14:textId="77777777" w:rsidTr="000C01E8">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0B66BC" w:rsidRDefault="007F3838" w:rsidP="000B66BC">
            <w:pPr>
              <w:pStyle w:val="BodyText1"/>
              <w:spacing w:after="240"/>
              <w:rPr>
                <w:rFonts w:ascii="Times New Roman" w:hAnsi="Times New Roman"/>
                <w:bCs/>
                <w:sz w:val="24"/>
                <w:szCs w:val="24"/>
              </w:rPr>
            </w:pPr>
            <w:r>
              <w:rPr>
                <w:rFonts w:ascii="Times New Roman" w:hAnsi="Times New Roman"/>
                <w:sz w:val="24"/>
              </w:rPr>
              <w:lastRenderedPageBreak/>
              <w:t>{0380;0010}</w:t>
            </w:r>
          </w:p>
        </w:tc>
        <w:tc>
          <w:tcPr>
            <w:tcW w:w="7620" w:type="dxa"/>
            <w:tcBorders>
              <w:top w:val="single" w:sz="4" w:space="0" w:color="auto"/>
              <w:left w:val="single" w:sz="4" w:space="0" w:color="auto"/>
              <w:bottom w:val="single" w:sz="4" w:space="0" w:color="auto"/>
              <w:right w:val="single" w:sz="4" w:space="0" w:color="auto"/>
            </w:tcBorders>
          </w:tcPr>
          <w:p w14:paraId="6B9DA2BC" w14:textId="0B7E2413" w:rsidR="00703CC2" w:rsidRPr="000B66BC" w:rsidRDefault="00703CC2"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Centralbanksexponeringar –</w:t>
            </w:r>
            <w:r>
              <w:rPr>
                <w:sz w:val="24"/>
              </w:rPr>
              <w:t xml:space="preserve"> </w:t>
            </w:r>
            <w:r>
              <w:rPr>
                <w:rFonts w:ascii="Times New Roman" w:hAnsi="Times New Roman"/>
                <w:b/>
                <w:sz w:val="24"/>
              </w:rPr>
              <w:t>redovisat balansräkningsvärde</w:t>
            </w:r>
          </w:p>
          <w:p w14:paraId="68FD6F4B" w14:textId="013AB044" w:rsidR="007F3838"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Institut ska i enlighet med de tillämpliga redovisningsreglerna rapportera värdet av följande exponeringar mot institutets centralbank: i) Mynt och sedlar som är lagligt betalningsmedel i centralbankens jurisdiktion. ii) Tillgångar som motsvarar fordringar på centralbanken, inbegripet reserver som hålls vid centralbanken.</w:t>
            </w:r>
          </w:p>
          <w:p w14:paraId="6DEE1984" w14:textId="4388DF7E" w:rsidR="009F67E9"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 xml:space="preserve">Institut ska endast inkludera exponeringar som uppfyller båda följande villkor: a) De är </w:t>
            </w:r>
            <w:proofErr w:type="spellStart"/>
            <w:r>
              <w:rPr>
                <w:rFonts w:ascii="Times New Roman" w:hAnsi="Times New Roman"/>
                <w:sz w:val="24"/>
              </w:rPr>
              <w:t>denominerade</w:t>
            </w:r>
            <w:proofErr w:type="spellEnd"/>
            <w:r>
              <w:rPr>
                <w:rFonts w:ascii="Times New Roman" w:hAnsi="Times New Roman"/>
                <w:sz w:val="24"/>
              </w:rPr>
              <w:t xml:space="preserve"> i samma valuta som institutets inlåning. b) Deras genomsnittliga löptid överstiger inte i betydande grad den genomsnittliga löptiden för institutets inlåning.</w:t>
            </w:r>
          </w:p>
          <w:p w14:paraId="1572123D" w14:textId="79750841" w:rsidR="007F3838" w:rsidRPr="000B66BC" w:rsidRDefault="009F67E9" w:rsidP="000B66BC">
            <w:pPr>
              <w:pStyle w:val="BodyText1"/>
              <w:spacing w:after="240" w:line="240" w:lineRule="auto"/>
              <w:rPr>
                <w:rFonts w:ascii="Times New Roman" w:hAnsi="Times New Roman"/>
                <w:b/>
                <w:bCs/>
                <w:sz w:val="24"/>
                <w:szCs w:val="24"/>
              </w:rPr>
            </w:pPr>
            <w:r>
              <w:rPr>
                <w:rFonts w:ascii="Times New Roman" w:hAnsi="Times New Roman"/>
                <w:sz w:val="24"/>
              </w:rPr>
              <w:t>Institut ska rapportera dessa exponeringar oavsett om de är undantagna från det totala exponeringsmåttet enligt artikel 429a.5 och 429a.6 i förordning (EU) nr 575/2013.</w:t>
            </w:r>
          </w:p>
        </w:tc>
      </w:tr>
      <w:tr w:rsidR="00086398" w:rsidRPr="00E75BB8" w14:paraId="2FC50208" w14:textId="77777777" w:rsidTr="00086398">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sz w:val="24"/>
              </w:rPr>
              <w:t>{0390;0140}</w:t>
            </w:r>
          </w:p>
        </w:tc>
        <w:tc>
          <w:tcPr>
            <w:tcW w:w="7620" w:type="dxa"/>
            <w:tcBorders>
              <w:top w:val="single" w:sz="4" w:space="0" w:color="auto"/>
              <w:left w:val="single" w:sz="4" w:space="0" w:color="auto"/>
              <w:bottom w:val="single" w:sz="4" w:space="0" w:color="auto"/>
              <w:right w:val="single" w:sz="4" w:space="0" w:color="auto"/>
            </w:tcBorders>
          </w:tcPr>
          <w:p w14:paraId="61B3D8C3" w14:textId="1C344E74"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Det värde av centralbanksexponeringar som används för beräkningen av det krav på justerad bruttosoliditetsgrad som avses i artikel 429a.7 i CRR – bruttosoliditetsexponering</w:t>
            </w:r>
          </w:p>
          <w:p w14:paraId="0EDC2D5D" w14:textId="0F8FC5EF"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Det dagliga genomsnittliga totala värdet av institutets exponeringar mot sin centralbank,</w:t>
            </w:r>
            <w:r>
              <w:rPr>
                <w:sz w:val="24"/>
              </w:rPr>
              <w:t xml:space="preserve"> </w:t>
            </w:r>
            <w:r>
              <w:rPr>
                <w:rFonts w:ascii="Times New Roman" w:hAnsi="Times New Roman"/>
                <w:sz w:val="24"/>
              </w:rPr>
              <w:t>beräknat över den fullständiga uppfyllandeperiod för centralbanksreserver som omedelbart föregår den dag som avses i artikel 429a.5 c i förordning (EU) nr 575/2013, som får undantas i enlighet med artikel 429a.1 n i förordning (EU) nr 575/2013.</w:t>
            </w:r>
          </w:p>
        </w:tc>
      </w:tr>
      <w:tr w:rsidR="00086398" w:rsidRPr="00E75BB8" w14:paraId="49595092" w14:textId="77777777" w:rsidTr="00086398">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sz w:val="24"/>
              </w:rPr>
              <w:t>{0400;0140}</w:t>
            </w:r>
          </w:p>
        </w:tc>
        <w:tc>
          <w:tcPr>
            <w:tcW w:w="7620" w:type="dxa"/>
            <w:tcBorders>
              <w:top w:val="single" w:sz="4" w:space="0" w:color="auto"/>
              <w:left w:val="single" w:sz="4" w:space="0" w:color="auto"/>
              <w:bottom w:val="single" w:sz="4" w:space="0" w:color="auto"/>
              <w:right w:val="single" w:sz="4" w:space="0" w:color="auto"/>
            </w:tcBorders>
          </w:tcPr>
          <w:p w14:paraId="78B454B7" w14:textId="0BDD4F96"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Det exponeringsmått för bruttosoliditetsgrad som används för beräkningen av det krav på justerad bruttosoliditetsgrad som avses i artikel 429a.7 i CRR – bruttosoliditetsexponering</w:t>
            </w:r>
          </w:p>
          <w:p w14:paraId="7F49B2B2" w14:textId="6908FD98" w:rsidR="000A486B" w:rsidRPr="000B66BC" w:rsidRDefault="00DD51E7"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Institutets totala exponeringsmått enligt definitionen i artikel 429.4 i förordning (EU) nr 575/2013, inklusive alla exponeringar som undantas i enlighet med artikel 429.1 n i förordning (EU) nr 575/2013, vid den tidpunkt som avses i artikel 429a.5 c i förordning (EU) nr 575/2013</w:t>
            </w:r>
          </w:p>
        </w:tc>
      </w:tr>
      <w:tr w:rsidR="000C01E8" w:rsidRPr="00E75BB8" w14:paraId="2AF78942" w14:textId="77777777" w:rsidTr="000C01E8">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Pr="000B66BC" w:rsidRDefault="000C01E8" w:rsidP="000B66BC">
            <w:pPr>
              <w:pStyle w:val="BodyText1"/>
              <w:spacing w:after="240"/>
              <w:rPr>
                <w:rFonts w:ascii="Times New Roman" w:hAnsi="Times New Roman"/>
                <w:bCs/>
                <w:sz w:val="24"/>
                <w:szCs w:val="24"/>
              </w:rPr>
            </w:pPr>
            <w:r>
              <w:rPr>
                <w:rFonts w:ascii="Times New Roman" w:hAnsi="Times New Roman"/>
                <w:sz w:val="24"/>
              </w:rPr>
              <w:t>{0410;0010}</w:t>
            </w:r>
          </w:p>
        </w:tc>
        <w:tc>
          <w:tcPr>
            <w:tcW w:w="7620" w:type="dxa"/>
            <w:tcBorders>
              <w:top w:val="single" w:sz="4" w:space="0" w:color="auto"/>
              <w:left w:val="single" w:sz="4" w:space="0" w:color="auto"/>
              <w:bottom w:val="single" w:sz="4" w:space="0" w:color="auto"/>
              <w:right w:val="single" w:sz="4" w:space="0" w:color="auto"/>
            </w:tcBorders>
          </w:tcPr>
          <w:p w14:paraId="2400C592" w14:textId="77777777" w:rsidR="000C01E8" w:rsidRPr="000B66BC" w:rsidRDefault="000C01E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 xml:space="preserve">Totala tillgångar </w:t>
            </w:r>
          </w:p>
          <w:p w14:paraId="6B941506" w14:textId="67257FB8" w:rsidR="00086398" w:rsidRPr="000B66BC" w:rsidRDefault="000C01E8"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I denna post ska instituten rapportera de totala tillgångarna i samma omfattning som används i de offentliggjorda finansiella rapporterna.</w:t>
            </w:r>
          </w:p>
        </w:tc>
      </w:tr>
    </w:tbl>
    <w:p w14:paraId="03B5554A" w14:textId="77777777" w:rsidR="00462408" w:rsidRPr="000B66BC" w:rsidRDefault="00462408" w:rsidP="000B66BC">
      <w:pPr>
        <w:pStyle w:val="BodyText1"/>
        <w:spacing w:after="240"/>
        <w:rPr>
          <w:rFonts w:ascii="Times New Roman" w:hAnsi="Times New Roman"/>
          <w:b/>
          <w:sz w:val="24"/>
          <w:szCs w:val="24"/>
        </w:rPr>
      </w:pPr>
      <w:bookmarkStart w:id="58" w:name="_Toc338669922"/>
      <w:bookmarkStart w:id="59" w:name="_Toc338669923"/>
      <w:bookmarkStart w:id="60" w:name="_Toc338669924"/>
      <w:bookmarkStart w:id="61" w:name="_Toc338669925"/>
      <w:bookmarkStart w:id="62" w:name="_Toc338669926"/>
      <w:bookmarkStart w:id="63" w:name="_Toc338669927"/>
      <w:bookmarkStart w:id="64" w:name="_Toc338669928"/>
      <w:bookmarkEnd w:id="58"/>
      <w:bookmarkEnd w:id="59"/>
      <w:bookmarkEnd w:id="60"/>
      <w:bookmarkEnd w:id="61"/>
      <w:bookmarkEnd w:id="62"/>
      <w:bookmarkEnd w:id="63"/>
      <w:bookmarkEnd w:id="64"/>
    </w:p>
    <w:p w14:paraId="5E95AFC7" w14:textId="71198216" w:rsidR="00217D1F" w:rsidRPr="000B66BC" w:rsidRDefault="005F4574" w:rsidP="000B66BC">
      <w:pPr>
        <w:pStyle w:val="BodyText1"/>
        <w:spacing w:after="240"/>
        <w:ind w:left="357" w:hanging="357"/>
        <w:outlineLvl w:val="1"/>
        <w:rPr>
          <w:rFonts w:ascii="Times New Roman" w:hAnsi="Times New Roman"/>
          <w:b/>
          <w:sz w:val="24"/>
          <w:szCs w:val="24"/>
        </w:rPr>
      </w:pPr>
      <w:bookmarkStart w:id="65" w:name="_Toc338669914"/>
      <w:bookmarkStart w:id="66" w:name="_Toc338669915"/>
      <w:bookmarkStart w:id="67" w:name="_Toc338669918"/>
      <w:bookmarkStart w:id="68" w:name="_Toc322687900"/>
      <w:bookmarkStart w:id="69" w:name="_Toc351048510"/>
      <w:bookmarkStart w:id="70" w:name="_Toc359414289"/>
      <w:bookmarkStart w:id="71" w:name="_Toc423089074"/>
      <w:bookmarkStart w:id="72" w:name="_Toc322533879"/>
      <w:bookmarkStart w:id="73" w:name="_Toc188450105"/>
      <w:bookmarkEnd w:id="57"/>
      <w:bookmarkEnd w:id="65"/>
      <w:bookmarkEnd w:id="66"/>
      <w:bookmarkEnd w:id="67"/>
      <w:r>
        <w:rPr>
          <w:rFonts w:ascii="Times New Roman" w:hAnsi="Times New Roman"/>
          <w:b/>
          <w:sz w:val="24"/>
        </w:rPr>
        <w:t>5.</w:t>
      </w:r>
      <w:r>
        <w:rPr>
          <w:rFonts w:ascii="Times New Roman" w:hAnsi="Times New Roman"/>
          <w:b/>
          <w:sz w:val="24"/>
        </w:rPr>
        <w:tab/>
        <w:t>C 43.00 – Alternativ uppdelning av komponenter i exponeringsmått för bruttosoliditetsgrad</w:t>
      </w:r>
      <w:bookmarkEnd w:id="68"/>
      <w:bookmarkEnd w:id="69"/>
      <w:bookmarkEnd w:id="70"/>
      <w:r>
        <w:rPr>
          <w:rFonts w:ascii="Times New Roman" w:hAnsi="Times New Roman"/>
          <w:b/>
          <w:sz w:val="24"/>
        </w:rPr>
        <w:t xml:space="preserve"> (LR4)</w:t>
      </w:r>
      <w:bookmarkEnd w:id="71"/>
      <w:bookmarkEnd w:id="73"/>
    </w:p>
    <w:p w14:paraId="28B96BA9" w14:textId="5AF52E0B" w:rsidR="004E437E"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rPr>
        <w:lastRenderedPageBreak/>
        <w:t>24.</w:t>
      </w:r>
      <w:r>
        <w:rPr>
          <w:rFonts w:ascii="Times New Roman" w:hAnsi="Times New Roman"/>
          <w:sz w:val="24"/>
        </w:rPr>
        <w:tab/>
        <w:t xml:space="preserve">Instituten ska rapportera bruttosoliditetsgradens exponeringsvärden i LR4 efter tillämpning av undantag och avdrag i </w:t>
      </w:r>
      <w:proofErr w:type="spellStart"/>
      <w:r>
        <w:rPr>
          <w:rFonts w:ascii="Times New Roman" w:hAnsi="Times New Roman"/>
          <w:sz w:val="24"/>
        </w:rPr>
        <w:t>LRCalc</w:t>
      </w:r>
      <w:proofErr w:type="spellEnd"/>
      <w:r>
        <w:rPr>
          <w:rFonts w:ascii="Times New Roman" w:hAnsi="Times New Roman"/>
          <w:sz w:val="24"/>
        </w:rPr>
        <w:t>-mallen, dvs. poster med negativt tecken i enlighet med teckenkonventionen i del I punkt 9 i denna bilaga, utom raderna {0270;0010} {0280;0010}.</w:t>
      </w:r>
    </w:p>
    <w:p w14:paraId="69B9194E" w14:textId="636E268C" w:rsidR="00A54449"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25.</w:t>
      </w:r>
      <w:r>
        <w:rPr>
          <w:rFonts w:ascii="Times New Roman" w:hAnsi="Times New Roman"/>
          <w:sz w:val="24"/>
        </w:rPr>
        <w:tab/>
        <w:t>För att undvika dubbelräkning ska instituten använda följande ekvation:</w:t>
      </w:r>
    </w:p>
    <w:p w14:paraId="6C63F05C" w14:textId="18F59633" w:rsidR="00F4754B" w:rsidRPr="000B66BC" w:rsidRDefault="00287E34"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 xml:space="preserve"> </w:t>
      </w:r>
      <w:r>
        <w:rPr>
          <w:rFonts w:ascii="Times New Roman" w:hAnsi="Times New Roman"/>
          <w:sz w:val="24"/>
        </w:rPr>
        <w:tab/>
        <w:t xml:space="preserve">Summan av alla rader från {0010; 0010} till {0269;0010} i mallen </w:t>
      </w:r>
      <w:proofErr w:type="spellStart"/>
      <w:r>
        <w:rPr>
          <w:rFonts w:ascii="Times New Roman" w:hAnsi="Times New Roman"/>
          <w:sz w:val="24"/>
        </w:rPr>
        <w:t>LRCalc</w:t>
      </w:r>
      <w:proofErr w:type="spellEnd"/>
      <w:r>
        <w:rPr>
          <w:rFonts w:ascii="Times New Roman" w:hAnsi="Times New Roman"/>
          <w:sz w:val="24"/>
        </w:rPr>
        <w:t xml:space="preserve"> ska vara lika med = [{LR4;0010;0010} + {LR4;0040;0010} + {LR4;0050;0010} + {LR4;0060;0010} + {LR4;0065;0010} + {LR4;0070;0010} + {LR4;0080;0010} + {LR40;080;0020} + {LR4;0090;0010} + {LR4;00090;0020} + {LR4;0140;0010} + {LR4;0140;0020} + {LR4;0180;0010} + {LR4;0180;0020} + {LR4;190;0010} + {LR4;0190;0020} + {LR4;0210;0010} + {LR4;0210;0020} + {LR4;0230;0010} + {LR4;0230;0020} + {LR4;0280;0010} + {LR4;0280;0020} + {LR4;0290;0010} + {LR4;0290;0020}].</w:t>
      </w:r>
    </w:p>
    <w:p w14:paraId="5BDC94CE" w14:textId="208FDE2C" w:rsidR="00675587" w:rsidRPr="000B66BC" w:rsidRDefault="00143C6A" w:rsidP="000B66BC">
      <w:pPr>
        <w:pStyle w:val="BodyText1"/>
        <w:spacing w:after="240"/>
        <w:ind w:left="720" w:hanging="360"/>
        <w:rPr>
          <w:rFonts w:ascii="Times New Roman" w:hAnsi="Times New Roman"/>
          <w:sz w:val="24"/>
          <w:szCs w:val="24"/>
        </w:rPr>
      </w:pPr>
      <w:r>
        <w:rPr>
          <w:rFonts w:ascii="Times New Roman" w:hAnsi="Times New Roman"/>
          <w:sz w:val="24"/>
        </w:rPr>
        <w:t>26.</w:t>
      </w:r>
      <w:r>
        <w:rPr>
          <w:rFonts w:ascii="Times New Roman" w:hAnsi="Times New Roman"/>
          <w:sz w:val="24"/>
        </w:rPr>
        <w:tab/>
        <w:t xml:space="preserve">För att stämma överens med bruttosoliditetsgradens exponeringsvärden ska de riskvägda exponeringsbeloppen också rapporteras fullständigt </w:t>
      </w:r>
      <w:proofErr w:type="spellStart"/>
      <w:r>
        <w:rPr>
          <w:rFonts w:ascii="Times New Roman" w:hAnsi="Times New Roman"/>
          <w:sz w:val="24"/>
        </w:rPr>
        <w:t>infasade</w:t>
      </w:r>
      <w:proofErr w:type="spellEnd"/>
      <w:r>
        <w:rPr>
          <w:rFonts w:ascii="Times New Roman" w:hAnsi="Times New Roman"/>
          <w:sz w:val="24"/>
        </w:rPr>
        <w:t xml:space="preserve">. Justeringarna relaterade till kapitalgolvet beaktas inte i denna mall. </w:t>
      </w:r>
    </w:p>
    <w:p w14:paraId="794DC095" w14:textId="4A4B07F0" w:rsidR="003B1611" w:rsidRPr="000B66BC" w:rsidRDefault="003B1611" w:rsidP="000B66BC">
      <w:pPr>
        <w:pStyle w:val="BodyText1"/>
        <w:spacing w:after="240"/>
        <w:ind w:left="720" w:hanging="360"/>
        <w:rPr>
          <w:rFonts w:ascii="Times New Roman" w:hAnsi="Times New Roman"/>
          <w:sz w:val="24"/>
          <w:szCs w:val="24"/>
        </w:rPr>
      </w:pPr>
      <w:r>
        <w:rPr>
          <w:rFonts w:ascii="Times New Roman" w:hAnsi="Times New Roman"/>
          <w:sz w:val="24"/>
        </w:rPr>
        <w:t xml:space="preserve">27. Instituten ska rapportera motparten i förhållande till riskvägt exponeringsbelopp efter kreditriskreduceringstekniker och substitutionseffekter. Instituten ska rapportera motparten i förhållande till bruttosoliditetsexponering i enlighet med den ursprungliga motparten, dvs. utan att ta hänsyn till någon kreditriskreducering eller substitutionseffekt som är tillämplig på det riskvägda exponeringsbeloppet.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E75BB8" w14:paraId="69CF6F62" w14:textId="77777777" w:rsidTr="000B66BC">
        <w:trPr>
          <w:trHeight w:val="297"/>
        </w:trPr>
        <w:tc>
          <w:tcPr>
            <w:tcW w:w="1559" w:type="dxa"/>
            <w:shd w:val="clear" w:color="auto" w:fill="D9D9D9" w:themeFill="background1" w:themeFillShade="D9"/>
          </w:tcPr>
          <w:p w14:paraId="5F424E32"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sz w:val="24"/>
              </w:rPr>
              <w:t>Rad och kolumn</w:t>
            </w:r>
          </w:p>
        </w:tc>
        <w:tc>
          <w:tcPr>
            <w:tcW w:w="7406" w:type="dxa"/>
            <w:shd w:val="clear" w:color="auto" w:fill="D9D9D9" w:themeFill="background1" w:themeFillShade="D9"/>
          </w:tcPr>
          <w:p w14:paraId="0DBEBFC4"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sz w:val="24"/>
              </w:rPr>
              <w:t>Rättsliga hänvisningar och instruktioner</w:t>
            </w:r>
          </w:p>
        </w:tc>
      </w:tr>
      <w:tr w:rsidR="002A54FF" w:rsidRPr="00E75BB8" w14:paraId="7949D943" w14:textId="77777777" w:rsidTr="000B66BC">
        <w:trPr>
          <w:trHeight w:val="445"/>
        </w:trPr>
        <w:tc>
          <w:tcPr>
            <w:tcW w:w="1559" w:type="dxa"/>
            <w:shd w:val="clear" w:color="auto" w:fill="FFFFFF"/>
          </w:tcPr>
          <w:p w14:paraId="55F0F0BF" w14:textId="2E63969B"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{0010;0010}</w:t>
            </w:r>
          </w:p>
        </w:tc>
        <w:tc>
          <w:tcPr>
            <w:tcW w:w="7406" w:type="dxa"/>
            <w:shd w:val="clear" w:color="auto" w:fill="FFFFFF"/>
          </w:tcPr>
          <w:p w14:paraId="1750A9AE" w14:textId="2B686C42"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Poster utanför balansräkningen – bruttosoliditetsgradens exponeringsvärde</w:t>
            </w:r>
          </w:p>
          <w:p w14:paraId="158DBAF4" w14:textId="1A1A8F2F"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Bruttosoliditetsgradens exponeringsvärde beräknat som summan av {LRCalc;0150;0010}, {LRCalc;0160;0010}, {LRCalc;0165;0010} {LRCalc;0170;0010} och {LRCalc;0180;0010}, exklusive respektive koncerninterna exponeringar (individuell nivå) som är undantagna i enlighet med artikel 429a.1 c och ca i förordning (EU) nr 575/2013.</w:t>
            </w:r>
          </w:p>
        </w:tc>
      </w:tr>
      <w:tr w:rsidR="002A54FF" w:rsidRPr="00E75BB8" w14:paraId="5C714FF5" w14:textId="77777777" w:rsidTr="000B66BC">
        <w:trPr>
          <w:trHeight w:val="1179"/>
        </w:trPr>
        <w:tc>
          <w:tcPr>
            <w:tcW w:w="1559" w:type="dxa"/>
            <w:shd w:val="clear" w:color="auto" w:fill="FFFFFF"/>
          </w:tcPr>
          <w:p w14:paraId="2120C924" w14:textId="781A037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{0010;0020}</w:t>
            </w:r>
          </w:p>
        </w:tc>
        <w:tc>
          <w:tcPr>
            <w:tcW w:w="7406" w:type="dxa"/>
            <w:shd w:val="clear" w:color="auto" w:fill="FFFFFF"/>
          </w:tcPr>
          <w:p w14:paraId="01D12FD7" w14:textId="094E74CB"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Poster utanför balansräkningen – riskvägt exponeringsbelopp</w:t>
            </w:r>
          </w:p>
          <w:p w14:paraId="672047D9" w14:textId="29F80B05"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Det riskvägda exponeringsbeloppet för poster utanför balansräkningen – med undantag för transaktioner för värdepappersfinansiering och derivat – enligt schablonmetoden och internmetoden. När det gäller exponeringar enligt schablonmetoden ska institut fastställa det riskvägda exponeringsbeloppet i enlighet med del tre avdelning II kapitel 2 i förordning (EU) nr 575/2013. När det gäller exponeringar enligt internmetoden ska institut fastställa det riskvägda exponeringsbeloppet i enlighet med del tre avdelning II kapitel 3 i förordning (EU) nr 575/2013.</w:t>
            </w:r>
          </w:p>
        </w:tc>
      </w:tr>
      <w:tr w:rsidR="002A54FF" w:rsidRPr="00E75BB8" w14:paraId="3A2B982B" w14:textId="77777777" w:rsidTr="000B66BC">
        <w:trPr>
          <w:trHeight w:val="741"/>
        </w:trPr>
        <w:tc>
          <w:tcPr>
            <w:tcW w:w="1559" w:type="dxa"/>
            <w:shd w:val="clear" w:color="auto" w:fill="FFFFFF"/>
          </w:tcPr>
          <w:p w14:paraId="02155B13" w14:textId="2421AAB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{0020;0010}</w:t>
            </w:r>
          </w:p>
        </w:tc>
        <w:tc>
          <w:tcPr>
            <w:tcW w:w="7406" w:type="dxa"/>
            <w:shd w:val="clear" w:color="auto" w:fill="FFFFFF"/>
          </w:tcPr>
          <w:p w14:paraId="08539F0E" w14:textId="34DD4FEA"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varav: Handelsfinansiering – bruttosoliditetsgradens exponeringsvärde</w:t>
            </w:r>
          </w:p>
          <w:p w14:paraId="645ACACC" w14:textId="77777777" w:rsidR="00F21A85" w:rsidRDefault="00F4754B" w:rsidP="00F21A85">
            <w:pPr>
              <w:pStyle w:val="BodyText1"/>
              <w:spacing w:after="240" w:line="240" w:lineRule="auto"/>
              <w:rPr>
                <w:rFonts w:ascii="Times New Roman" w:hAnsi="Times New Roman"/>
                <w:bCs/>
                <w:sz w:val="24"/>
                <w:szCs w:val="24"/>
              </w:rPr>
            </w:pPr>
            <w:r>
              <w:rPr>
                <w:rFonts w:ascii="Times New Roman" w:hAnsi="Times New Roman"/>
                <w:sz w:val="24"/>
              </w:rPr>
              <w:t>Bruttosoliditetsgradens exponeringsvärde när det gäller poster utanför balansräkningen avseende handelsfinansiering</w:t>
            </w:r>
          </w:p>
          <w:p w14:paraId="133382BF" w14:textId="754E9FF1" w:rsidR="002509B1" w:rsidRPr="000B66BC" w:rsidRDefault="00F4754B" w:rsidP="00F21A85">
            <w:pPr>
              <w:pStyle w:val="BodyText1"/>
              <w:spacing w:after="240" w:line="240" w:lineRule="auto"/>
              <w:rPr>
                <w:rFonts w:ascii="Times New Roman" w:hAnsi="Times New Roman"/>
                <w:bCs/>
                <w:sz w:val="24"/>
                <w:szCs w:val="24"/>
              </w:rPr>
            </w:pPr>
            <w:r>
              <w:rPr>
                <w:rFonts w:ascii="Times New Roman" w:hAnsi="Times New Roman"/>
                <w:sz w:val="24"/>
              </w:rPr>
              <w:t>Vid rapportering i LR4 ska poster utanför balansräkningen i fråga om handelsfinansiering avse utfärdade och bekräftade import- och exportremburser som är kortfristiga och självlikviderade samt liknande transaktioner.</w:t>
            </w:r>
          </w:p>
        </w:tc>
      </w:tr>
      <w:tr w:rsidR="002A54FF" w:rsidRPr="00E75BB8" w14:paraId="76EF75CF" w14:textId="77777777" w:rsidTr="000B66BC">
        <w:trPr>
          <w:trHeight w:val="1038"/>
        </w:trPr>
        <w:tc>
          <w:tcPr>
            <w:tcW w:w="1559" w:type="dxa"/>
            <w:shd w:val="clear" w:color="auto" w:fill="FFFFFF"/>
          </w:tcPr>
          <w:p w14:paraId="35797C75" w14:textId="0565FF1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{0020;0020}</w:t>
            </w:r>
          </w:p>
        </w:tc>
        <w:tc>
          <w:tcPr>
            <w:tcW w:w="7406" w:type="dxa"/>
            <w:shd w:val="clear" w:color="auto" w:fill="FFFFFF"/>
          </w:tcPr>
          <w:p w14:paraId="249BC5D0" w14:textId="48587F9F"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varav: Handelsfinansiering – riskvägt exponeringsbelopp</w:t>
            </w:r>
          </w:p>
          <w:p w14:paraId="6D7F09A8" w14:textId="77777777" w:rsidR="006918E9" w:rsidRDefault="00F4754B" w:rsidP="006918E9">
            <w:pPr>
              <w:pStyle w:val="BodyText1"/>
              <w:spacing w:after="240" w:line="240" w:lineRule="auto"/>
              <w:rPr>
                <w:rFonts w:ascii="Times New Roman" w:hAnsi="Times New Roman"/>
                <w:bCs/>
                <w:sz w:val="24"/>
                <w:szCs w:val="24"/>
              </w:rPr>
            </w:pPr>
            <w:r>
              <w:rPr>
                <w:rFonts w:ascii="Times New Roman" w:hAnsi="Times New Roman"/>
                <w:sz w:val="24"/>
              </w:rPr>
              <w:t>Det riskvägda exponeringsvärdet för poster utanför balansräkningen – med undantag för transaktioner för värdepappersfinansiering och derivat – avseende handelsfinansiering</w:t>
            </w:r>
          </w:p>
          <w:p w14:paraId="38C84AEF" w14:textId="78316124"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sz w:val="24"/>
              </w:rPr>
              <w:t>Vid rapportering i LR4 ska poster utanför balansräkningen i fråga om handelsfinansiering avse utfärdade och bekräftade import- och exportremburser som är kortfristiga och självlikviderade samt liknande transaktioner.</w:t>
            </w:r>
          </w:p>
        </w:tc>
      </w:tr>
      <w:tr w:rsidR="002A54FF" w:rsidRPr="00E75BB8" w14:paraId="277256CF" w14:textId="77777777" w:rsidTr="000B66BC">
        <w:trPr>
          <w:trHeight w:val="1030"/>
        </w:trPr>
        <w:tc>
          <w:tcPr>
            <w:tcW w:w="1559" w:type="dxa"/>
            <w:shd w:val="clear" w:color="auto" w:fill="FFFFFF"/>
          </w:tcPr>
          <w:p w14:paraId="5B876EDF" w14:textId="3902F515"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{0030;0010}</w:t>
            </w:r>
          </w:p>
        </w:tc>
        <w:tc>
          <w:tcPr>
            <w:tcW w:w="7406" w:type="dxa"/>
            <w:shd w:val="clear" w:color="auto" w:fill="FFFFFF"/>
          </w:tcPr>
          <w:p w14:paraId="48F51CF2" w14:textId="4EB6A65B"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varav: Inom ramen för ett offentligt exportkreditförsäkringssystem – bruttosoliditetsgradens exponeringsvärde</w:t>
            </w:r>
          </w:p>
          <w:p w14:paraId="6B70A020" w14:textId="3C72A663"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Bruttosoliditetsgradens</w:t>
            </w:r>
            <w:r>
              <w:rPr>
                <w:rFonts w:ascii="Times New Roman" w:hAnsi="Times New Roman"/>
                <w:b/>
                <w:sz w:val="24"/>
              </w:rPr>
              <w:t xml:space="preserve"> </w:t>
            </w:r>
            <w:r>
              <w:rPr>
                <w:rFonts w:ascii="Times New Roman" w:hAnsi="Times New Roman"/>
                <w:sz w:val="24"/>
              </w:rPr>
              <w:t>exponeringsvärde när det gäller poster utanför balansräkningen avseende handelsfinansiering enligt ett offentligt exportkreditförsäkringssystem</w:t>
            </w:r>
          </w:p>
          <w:p w14:paraId="71BE2A86" w14:textId="52B3D7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När det gäller rapportering i LR4 ska ett offentligt exportkreditförsäkringssystem ge offentligt stöd från regeringen eller annan myndighet, </w:t>
            </w:r>
            <w:proofErr w:type="gramStart"/>
            <w:r>
              <w:rPr>
                <w:rFonts w:ascii="Times New Roman" w:hAnsi="Times New Roman"/>
                <w:sz w:val="24"/>
              </w:rPr>
              <w:t>t.ex.</w:t>
            </w:r>
            <w:proofErr w:type="gramEnd"/>
            <w:r>
              <w:rPr>
                <w:rFonts w:ascii="Times New Roman" w:hAnsi="Times New Roman"/>
                <w:sz w:val="24"/>
              </w:rPr>
              <w:t xml:space="preserve"> ett exportkreditorgan, i form av bland annat direkt kredit/finansiering, refinansiering, räntestöd (där en fast ränta garanteras under hela kreditlängden), stödfinansiering (krediter och gåvobistånd), exportkreditförsäkring och garantier.</w:t>
            </w:r>
          </w:p>
        </w:tc>
      </w:tr>
      <w:tr w:rsidR="002A54FF" w:rsidRPr="00E75BB8" w14:paraId="46968C9B" w14:textId="77777777" w:rsidTr="000B66BC">
        <w:trPr>
          <w:trHeight w:val="601"/>
        </w:trPr>
        <w:tc>
          <w:tcPr>
            <w:tcW w:w="1559" w:type="dxa"/>
            <w:shd w:val="clear" w:color="auto" w:fill="FFFFFF"/>
          </w:tcPr>
          <w:p w14:paraId="68790E0D" w14:textId="23854C8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{0030;0020}</w:t>
            </w:r>
          </w:p>
        </w:tc>
        <w:tc>
          <w:tcPr>
            <w:tcW w:w="7406" w:type="dxa"/>
            <w:shd w:val="clear" w:color="auto" w:fill="FFFFFF"/>
          </w:tcPr>
          <w:p w14:paraId="071CF42C" w14:textId="4BD5D1B3"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varav: Inom ramen för ett offentligt exportkreditförsäkringssystem – riskvägt exponeringsbelopp</w:t>
            </w:r>
          </w:p>
          <w:p w14:paraId="0E7BC811" w14:textId="6F1A953F"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Det riskvägda exponeringsbeloppet för poster utanför balansräkningen – med undantag för transaktioner för värdepappersfinansiering och derivat – avseende handelsfinansiering enligt ett offentligt exportkreditförsäkringssystem</w:t>
            </w:r>
          </w:p>
          <w:p w14:paraId="2D3ADF55" w14:textId="478E84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När det gäller rapportering i LR4 ska ett offentligt exportkreditförsäkringssystem ge offentligt stöd från regeringen eller annan myndighet, </w:t>
            </w:r>
            <w:proofErr w:type="gramStart"/>
            <w:r>
              <w:rPr>
                <w:rFonts w:ascii="Times New Roman" w:hAnsi="Times New Roman"/>
                <w:sz w:val="24"/>
              </w:rPr>
              <w:t>t.ex.</w:t>
            </w:r>
            <w:proofErr w:type="gramEnd"/>
            <w:r>
              <w:rPr>
                <w:rFonts w:ascii="Times New Roman" w:hAnsi="Times New Roman"/>
                <w:sz w:val="24"/>
              </w:rPr>
              <w:t xml:space="preserve"> ett exportkreditorgan, i form av bland annat direkt kredit/finansiering, refinansiering, räntestöd (där en fast ränta garanteras </w:t>
            </w:r>
            <w:r>
              <w:rPr>
                <w:rFonts w:ascii="Times New Roman" w:hAnsi="Times New Roman"/>
                <w:sz w:val="24"/>
              </w:rPr>
              <w:lastRenderedPageBreak/>
              <w:t>under hela kreditlängden), stödfinansiering (krediter och gåvobistånd), exportkreditförsäkring och garantier.</w:t>
            </w:r>
          </w:p>
        </w:tc>
      </w:tr>
      <w:tr w:rsidR="002A54FF" w:rsidRPr="00E75BB8" w14:paraId="46D6302F" w14:textId="77777777" w:rsidTr="000B66BC">
        <w:trPr>
          <w:trHeight w:val="71"/>
        </w:trPr>
        <w:tc>
          <w:tcPr>
            <w:tcW w:w="1559" w:type="dxa"/>
            <w:shd w:val="clear" w:color="auto" w:fill="FFFFFF"/>
          </w:tcPr>
          <w:p w14:paraId="189CF026" w14:textId="3E532BF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{0040;0010}</w:t>
            </w:r>
          </w:p>
        </w:tc>
        <w:tc>
          <w:tcPr>
            <w:tcW w:w="7406" w:type="dxa"/>
            <w:shd w:val="clear" w:color="auto" w:fill="FFFFFF"/>
          </w:tcPr>
          <w:p w14:paraId="70B328B5" w14:textId="418FD16C"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Derivat och transaktioner för värdepappersfinansiering inom ramen för ett avtal om produktövergripande nettning – bruttosoliditetsgradens exponeringsvärde</w:t>
            </w:r>
          </w:p>
          <w:p w14:paraId="04D3A7BA" w14:textId="2BCB7AFC"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sz w:val="24"/>
              </w:rPr>
              <w:t>Bruttosoliditetsgradens exponeringsvärde när det gäller derivat och transaktioner för värdepappersfinansiering om de omfattas av ett avtal om produktövergripande nettning enligt definitionen i artikel 272.25 i förordning (EU) nr 575/2013</w:t>
            </w:r>
          </w:p>
        </w:tc>
      </w:tr>
      <w:tr w:rsidR="002A54FF" w:rsidRPr="00E75BB8" w14:paraId="71AC64BB" w14:textId="77777777" w:rsidTr="000B66BC">
        <w:trPr>
          <w:trHeight w:val="71"/>
        </w:trPr>
        <w:tc>
          <w:tcPr>
            <w:tcW w:w="1559" w:type="dxa"/>
            <w:shd w:val="clear" w:color="auto" w:fill="FFFFFF"/>
          </w:tcPr>
          <w:p w14:paraId="22035BF5" w14:textId="02E9D93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{0040;0020}</w:t>
            </w:r>
          </w:p>
        </w:tc>
        <w:tc>
          <w:tcPr>
            <w:tcW w:w="7406" w:type="dxa"/>
            <w:shd w:val="clear" w:color="auto" w:fill="FFFFFF"/>
          </w:tcPr>
          <w:p w14:paraId="6A93DC52" w14:textId="5A4C870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Derivat och transaktioner för värdepappersfinansiering inom ramen för ett avtal om produktövergripande nettning – riskvägt exponeringsbelopp</w:t>
            </w:r>
          </w:p>
          <w:p w14:paraId="2D88BC4B" w14:textId="20CFA41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De riskvägda exponeringsbeloppen för kredit- och motpartsrisk beräknade enligt del tre avdelning II i förordning (EU) nr 575/2013, för derivat och transaktioner för värdepappersfinansiering, inbegripet sådana utanför balansräkningen, om de omfattas av ett produktövergripande </w:t>
            </w:r>
            <w:proofErr w:type="spellStart"/>
            <w:r>
              <w:rPr>
                <w:rFonts w:ascii="Times New Roman" w:hAnsi="Times New Roman"/>
                <w:sz w:val="24"/>
              </w:rPr>
              <w:t>nettningsavtal</w:t>
            </w:r>
            <w:proofErr w:type="spellEnd"/>
            <w:r>
              <w:rPr>
                <w:rFonts w:ascii="Times New Roman" w:hAnsi="Times New Roman"/>
                <w:sz w:val="24"/>
              </w:rPr>
              <w:t xml:space="preserve"> enligt definitionen i artikel 272.25 i förordning (EU) nr 575/2013</w:t>
            </w:r>
          </w:p>
        </w:tc>
      </w:tr>
      <w:tr w:rsidR="002A54FF" w:rsidRPr="00E75BB8" w14:paraId="6FAD68FE" w14:textId="77777777" w:rsidTr="000B66BC">
        <w:trPr>
          <w:trHeight w:val="71"/>
        </w:trPr>
        <w:tc>
          <w:tcPr>
            <w:tcW w:w="1559" w:type="dxa"/>
            <w:shd w:val="clear" w:color="auto" w:fill="FFFFFF"/>
          </w:tcPr>
          <w:p w14:paraId="7DA151D1" w14:textId="1DC2294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{0050;0010}</w:t>
            </w:r>
          </w:p>
        </w:tc>
        <w:tc>
          <w:tcPr>
            <w:tcW w:w="7406" w:type="dxa"/>
            <w:shd w:val="clear" w:color="auto" w:fill="FFFFFF"/>
          </w:tcPr>
          <w:p w14:paraId="37A53F91" w14:textId="1692A4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Derivat som inte omfattas av något avtal om produktövergripande nettning – bruttosoliditetsgradens exponeringsvärde</w:t>
            </w:r>
          </w:p>
          <w:p w14:paraId="48BC0234" w14:textId="58D6669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rPr>
              <w:t>Bruttosoliditetsgradens exponeringsvärde när det gäller derivat om de inte omfattas av ett avtal om produktövergripande nettning enligt definitionen i artikel 272.25 i förordning (EU) nr 575/2013</w:t>
            </w:r>
          </w:p>
        </w:tc>
      </w:tr>
      <w:tr w:rsidR="002A54FF" w:rsidRPr="00E75BB8" w14:paraId="109BE50A" w14:textId="77777777" w:rsidTr="000B66BC">
        <w:trPr>
          <w:trHeight w:val="71"/>
        </w:trPr>
        <w:tc>
          <w:tcPr>
            <w:tcW w:w="1559" w:type="dxa"/>
            <w:shd w:val="clear" w:color="auto" w:fill="FFFFFF"/>
          </w:tcPr>
          <w:p w14:paraId="6AA1CBE3" w14:textId="7C7D547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{0050;0020}</w:t>
            </w:r>
          </w:p>
        </w:tc>
        <w:tc>
          <w:tcPr>
            <w:tcW w:w="7406" w:type="dxa"/>
            <w:shd w:val="clear" w:color="auto" w:fill="FFFFFF"/>
          </w:tcPr>
          <w:p w14:paraId="128CF8E8" w14:textId="0277DB7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Derivat som inte omfattas av något avtal om produktövergripande nettning – riskvägt exponeringsbelopp</w:t>
            </w:r>
          </w:p>
          <w:p w14:paraId="328E1A83" w14:textId="58F42996"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rPr>
              <w:t xml:space="preserve">De riskvägda exponeringsbeloppen för kredit- och motpartsrisk för derivat beräknade enligt del tre avdelning II i förordning (EU) nr 575/2013, inbegripet sådana utanför balansräkningen, om de inte omfattas av ett produktövergripande </w:t>
            </w:r>
            <w:proofErr w:type="spellStart"/>
            <w:r>
              <w:rPr>
                <w:rFonts w:ascii="Times New Roman" w:hAnsi="Times New Roman"/>
                <w:sz w:val="24"/>
              </w:rPr>
              <w:t>nettningsavtal</w:t>
            </w:r>
            <w:proofErr w:type="spellEnd"/>
            <w:r>
              <w:rPr>
                <w:rFonts w:ascii="Times New Roman" w:hAnsi="Times New Roman"/>
                <w:sz w:val="24"/>
              </w:rPr>
              <w:t xml:space="preserve"> enligt definitionen i artikel 272.25 i förordning (EU) nr 575/2013</w:t>
            </w:r>
          </w:p>
        </w:tc>
      </w:tr>
      <w:tr w:rsidR="002A54FF" w:rsidRPr="00E75BB8" w14:paraId="250886B1" w14:textId="77777777" w:rsidTr="000B66BC">
        <w:trPr>
          <w:trHeight w:val="71"/>
        </w:trPr>
        <w:tc>
          <w:tcPr>
            <w:tcW w:w="1559" w:type="dxa"/>
            <w:shd w:val="clear" w:color="auto" w:fill="FFFFFF"/>
          </w:tcPr>
          <w:p w14:paraId="47AE751E" w14:textId="7CC2059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{0060;0010}</w:t>
            </w:r>
          </w:p>
        </w:tc>
        <w:tc>
          <w:tcPr>
            <w:tcW w:w="7406" w:type="dxa"/>
            <w:shd w:val="clear" w:color="auto" w:fill="FFFFFF"/>
          </w:tcPr>
          <w:p w14:paraId="62FDB809" w14:textId="5F25550B"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Transaktioner för värdepappersfinansiering som inte omfattas av något avtal om produktövergripande nettning – bruttosoliditetsgradens exponeringsvärde</w:t>
            </w:r>
          </w:p>
          <w:p w14:paraId="621A4651" w14:textId="29EC337D" w:rsidR="000A486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rPr>
              <w:t>Bruttosoliditetsgradens exponeringsvärde när det gäller exponeringar som rör transaktioner för värdepappersfinansiering om de inte omfattas av ett avtal om produktövergripande nettning enligt definitionen i artikel 272.25 i förordning (EU) nr 575/2013</w:t>
            </w:r>
          </w:p>
        </w:tc>
      </w:tr>
      <w:tr w:rsidR="002A54FF" w:rsidRPr="00E75BB8" w14:paraId="02CE5A4B" w14:textId="77777777" w:rsidTr="000B66BC">
        <w:trPr>
          <w:trHeight w:val="71"/>
        </w:trPr>
        <w:tc>
          <w:tcPr>
            <w:tcW w:w="1559" w:type="dxa"/>
            <w:shd w:val="clear" w:color="auto" w:fill="FFFFFF"/>
          </w:tcPr>
          <w:p w14:paraId="5323F20A" w14:textId="5C57C5D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{0060;0020}</w:t>
            </w:r>
          </w:p>
        </w:tc>
        <w:tc>
          <w:tcPr>
            <w:tcW w:w="7406" w:type="dxa"/>
            <w:shd w:val="clear" w:color="auto" w:fill="FFFFFF"/>
          </w:tcPr>
          <w:p w14:paraId="25095D40" w14:textId="2E4D9B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Transaktioner för värdepappersfinansiering som inte omfattas av något avtal om produktövergripande nettning – riskvägt exponeringsbelopp</w:t>
            </w:r>
          </w:p>
          <w:p w14:paraId="0358DACB" w14:textId="7C980E23"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rPr>
              <w:t xml:space="preserve">De riskvägda exponeringsbeloppen för kredit- och motpartsrisk för transaktioner för värdepappersfinansiering beräknade enligt del tre avdelning II i förordning (EU) nr 575/2013, inbegripet sådana utanför balansräkningen, om de inte omfattas av ett produktövergripande </w:t>
            </w:r>
            <w:proofErr w:type="spellStart"/>
            <w:r>
              <w:rPr>
                <w:rFonts w:ascii="Times New Roman" w:hAnsi="Times New Roman"/>
                <w:sz w:val="24"/>
              </w:rPr>
              <w:t>nettningsavtal</w:t>
            </w:r>
            <w:proofErr w:type="spellEnd"/>
            <w:r>
              <w:rPr>
                <w:rFonts w:ascii="Times New Roman" w:hAnsi="Times New Roman"/>
                <w:sz w:val="24"/>
              </w:rPr>
              <w:t xml:space="preserve"> enligt definitionen i artikel 272.25 i förordning (EU) nr 575/2013</w:t>
            </w:r>
          </w:p>
        </w:tc>
      </w:tr>
      <w:tr w:rsidR="002A54FF" w:rsidRPr="00E75BB8" w14:paraId="53E747C0" w14:textId="77777777" w:rsidTr="000B66BC">
        <w:trPr>
          <w:trHeight w:val="71"/>
        </w:trPr>
        <w:tc>
          <w:tcPr>
            <w:tcW w:w="1559" w:type="dxa"/>
            <w:shd w:val="clear" w:color="auto" w:fill="FFFFFF"/>
          </w:tcPr>
          <w:p w14:paraId="416A99BB" w14:textId="71684C56" w:rsidR="00465521" w:rsidRPr="000B66BC" w:rsidRDefault="00465521" w:rsidP="000B66BC">
            <w:pPr>
              <w:pStyle w:val="BodyText1"/>
              <w:spacing w:after="240"/>
              <w:rPr>
                <w:rFonts w:ascii="Times New Roman" w:hAnsi="Times New Roman"/>
                <w:bCs/>
                <w:sz w:val="24"/>
                <w:szCs w:val="24"/>
              </w:rPr>
            </w:pPr>
            <w:r>
              <w:rPr>
                <w:rFonts w:ascii="Times New Roman" w:hAnsi="Times New Roman"/>
                <w:sz w:val="24"/>
              </w:rPr>
              <w:t>{0065;0010}</w:t>
            </w:r>
          </w:p>
        </w:tc>
        <w:tc>
          <w:tcPr>
            <w:tcW w:w="7406" w:type="dxa"/>
            <w:shd w:val="clear" w:color="auto" w:fill="FFFFFF"/>
          </w:tcPr>
          <w:p w14:paraId="40B65940" w14:textId="26A29B28" w:rsidR="004968DF" w:rsidRPr="000B66BC" w:rsidRDefault="004968DF" w:rsidP="000B66BC">
            <w:pPr>
              <w:pStyle w:val="BodyText1"/>
              <w:spacing w:after="240" w:line="240" w:lineRule="auto"/>
              <w:rPr>
                <w:rFonts w:ascii="Times New Roman" w:hAnsi="Times New Roman"/>
                <w:b/>
                <w:bCs/>
                <w:sz w:val="24"/>
                <w:szCs w:val="24"/>
              </w:rPr>
            </w:pPr>
            <w:r>
              <w:rPr>
                <w:rFonts w:ascii="Times New Roman" w:hAnsi="Times New Roman"/>
                <w:b/>
                <w:sz w:val="24"/>
              </w:rPr>
              <w:t>Exponeringsbelopp från ytterligare behandling för kreditderivat – bruttosoliditetsgradens exponeringsvärde</w:t>
            </w:r>
          </w:p>
          <w:p w14:paraId="1E879EE4" w14:textId="70635271" w:rsidR="00EC2C14" w:rsidRPr="000B66BC" w:rsidRDefault="000D3973" w:rsidP="000B66BC">
            <w:pPr>
              <w:pStyle w:val="BodyText1"/>
              <w:spacing w:after="240" w:line="240" w:lineRule="auto"/>
              <w:rPr>
                <w:rFonts w:ascii="Times New Roman" w:hAnsi="Times New Roman"/>
                <w:b/>
                <w:bCs/>
                <w:sz w:val="24"/>
                <w:szCs w:val="24"/>
              </w:rPr>
            </w:pPr>
            <w:r>
              <w:rPr>
                <w:rFonts w:ascii="Times New Roman" w:hAnsi="Times New Roman"/>
                <w:sz w:val="24"/>
              </w:rPr>
              <w:t>Denna cell motsvarar differensen mellan {LRCalc;0130;0010} och {LRCalc;0140;0010}, exklusive respektive koncerninterna exponeringar (individuell nivå) som är undantagna i enlighet med artikel 429a.1 c i förordning (EU) nr 575/2013.</w:t>
            </w:r>
          </w:p>
        </w:tc>
      </w:tr>
      <w:tr w:rsidR="002A54FF" w:rsidRPr="00E75BB8" w14:paraId="07289AF9" w14:textId="77777777" w:rsidTr="000B66BC">
        <w:trPr>
          <w:trHeight w:val="71"/>
        </w:trPr>
        <w:tc>
          <w:tcPr>
            <w:tcW w:w="1559" w:type="dxa"/>
            <w:shd w:val="clear" w:color="auto" w:fill="FFFFFF"/>
          </w:tcPr>
          <w:p w14:paraId="6AB8700E" w14:textId="3A0BBEE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{0070;0010}</w:t>
            </w:r>
          </w:p>
        </w:tc>
        <w:tc>
          <w:tcPr>
            <w:tcW w:w="7406" w:type="dxa"/>
            <w:shd w:val="clear" w:color="auto" w:fill="FFFFFF"/>
          </w:tcPr>
          <w:p w14:paraId="330EEA74" w14:textId="3FC00B7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Övriga tillgångar i </w:t>
            </w:r>
            <w:proofErr w:type="spellStart"/>
            <w:r>
              <w:rPr>
                <w:rFonts w:ascii="Times New Roman" w:hAnsi="Times New Roman"/>
                <w:b/>
                <w:sz w:val="24"/>
              </w:rPr>
              <w:t>handelslagret</w:t>
            </w:r>
            <w:proofErr w:type="spellEnd"/>
            <w:r>
              <w:rPr>
                <w:rFonts w:ascii="Times New Roman" w:hAnsi="Times New Roman"/>
                <w:b/>
                <w:sz w:val="24"/>
              </w:rPr>
              <w:t xml:space="preserve"> – bruttosoliditetsgradens exponeringsvärde</w:t>
            </w:r>
          </w:p>
          <w:p w14:paraId="1E037EEA" w14:textId="4585B1FF"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Bruttosoliditetsgradens exponeringsvärde när det gäller poster som ska rapporteras i {LRCalc;0190;0010}, inklusive poster utanför </w:t>
            </w:r>
            <w:proofErr w:type="spellStart"/>
            <w:r>
              <w:rPr>
                <w:rFonts w:ascii="Times New Roman" w:hAnsi="Times New Roman"/>
                <w:sz w:val="24"/>
              </w:rPr>
              <w:t>handelslagret</w:t>
            </w:r>
            <w:proofErr w:type="spellEnd"/>
          </w:p>
        </w:tc>
      </w:tr>
      <w:tr w:rsidR="002A54FF" w:rsidRPr="00E75BB8" w14:paraId="57915034" w14:textId="77777777" w:rsidTr="000B66BC">
        <w:trPr>
          <w:trHeight w:val="71"/>
        </w:trPr>
        <w:tc>
          <w:tcPr>
            <w:tcW w:w="1559" w:type="dxa"/>
            <w:shd w:val="clear" w:color="auto" w:fill="FFFFFF"/>
          </w:tcPr>
          <w:p w14:paraId="3BCDEC45" w14:textId="088A2CC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{0070;0020}</w:t>
            </w:r>
          </w:p>
        </w:tc>
        <w:tc>
          <w:tcPr>
            <w:tcW w:w="7406" w:type="dxa"/>
            <w:shd w:val="clear" w:color="auto" w:fill="FFFFFF"/>
          </w:tcPr>
          <w:p w14:paraId="6FF1BCA1" w14:textId="350A599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Övriga tillgångar i </w:t>
            </w:r>
            <w:proofErr w:type="spellStart"/>
            <w:r>
              <w:rPr>
                <w:rFonts w:ascii="Times New Roman" w:hAnsi="Times New Roman"/>
                <w:b/>
                <w:sz w:val="24"/>
              </w:rPr>
              <w:t>handelslagret</w:t>
            </w:r>
            <w:proofErr w:type="spellEnd"/>
            <w:r>
              <w:rPr>
                <w:rFonts w:ascii="Times New Roman" w:hAnsi="Times New Roman"/>
                <w:b/>
                <w:sz w:val="24"/>
              </w:rPr>
              <w:t xml:space="preserve"> – riskvägt exponeringsbelopp</w:t>
            </w:r>
          </w:p>
          <w:p w14:paraId="17C0B94C" w14:textId="2D5EB176"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Kapitalbaskrav multiplicerat med 12,5 avseende poster som omfattas av del tre avdelning IV i förordning (EU) nr 575/2013</w:t>
            </w:r>
          </w:p>
        </w:tc>
      </w:tr>
      <w:tr w:rsidR="002A54FF" w:rsidRPr="00E75BB8" w14:paraId="30AD6972" w14:textId="77777777" w:rsidTr="000B66BC">
        <w:trPr>
          <w:trHeight w:val="71"/>
        </w:trPr>
        <w:tc>
          <w:tcPr>
            <w:tcW w:w="1559" w:type="dxa"/>
            <w:shd w:val="clear" w:color="auto" w:fill="FFFFFF"/>
          </w:tcPr>
          <w:p w14:paraId="7CBED28C" w14:textId="1FF4044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{0080;0010}</w:t>
            </w:r>
          </w:p>
        </w:tc>
        <w:tc>
          <w:tcPr>
            <w:tcW w:w="7406" w:type="dxa"/>
            <w:shd w:val="clear" w:color="auto" w:fill="FFFFFF"/>
          </w:tcPr>
          <w:p w14:paraId="02FC2330" w14:textId="10761471"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Säkerställda obligationer – bruttosoliditetsgradens exponeringsvärde – exponeringar enligt schablonmetoden</w:t>
            </w:r>
          </w:p>
          <w:p w14:paraId="7DABED3A" w14:textId="24CAD1D0"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Bruttosoliditetsgradens exponeringsvärde av tillgångar som utgör exponeringar enligt schablonmetoden i form av säkerställda obligationer i enlighet med artikel 129 i förordning (EU) nr 575/2013</w:t>
            </w:r>
          </w:p>
          <w:p w14:paraId="1426D45B" w14:textId="0DF44122"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Institut ska rapportera detta minus fallerade exponeringar enligt schablonmetoden.</w:t>
            </w:r>
          </w:p>
        </w:tc>
      </w:tr>
      <w:tr w:rsidR="002A54FF" w:rsidRPr="00E75BB8" w14:paraId="56ECC5B8" w14:textId="77777777" w:rsidTr="000B66BC">
        <w:trPr>
          <w:trHeight w:val="71"/>
        </w:trPr>
        <w:tc>
          <w:tcPr>
            <w:tcW w:w="1559" w:type="dxa"/>
            <w:shd w:val="clear" w:color="auto" w:fill="FFFFFF"/>
          </w:tcPr>
          <w:p w14:paraId="07B311B6" w14:textId="2F59A0E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{0080;0020}</w:t>
            </w:r>
          </w:p>
        </w:tc>
        <w:tc>
          <w:tcPr>
            <w:tcW w:w="7406" w:type="dxa"/>
            <w:shd w:val="clear" w:color="auto" w:fill="FFFFFF"/>
          </w:tcPr>
          <w:p w14:paraId="7BBB17A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Säkerställda obligationer – bruttosoliditetsgradens exponeringsvärde – exponeringar enligt internmetod</w:t>
            </w:r>
          </w:p>
          <w:p w14:paraId="31EFC20D" w14:textId="13DFD927"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Bruttosoliditetsgradens exponeringsvärde av tillgångar som utgör exponeringar enligt internmetoden i form av säkerställda obligationer i enlighet med artikel 161.1 d i förordning (EU) nr 575/2013</w:t>
            </w:r>
          </w:p>
          <w:p w14:paraId="69149D8B" w14:textId="5AF9D0A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Institut ska rapportera detta minus fallerade exponeringar enligt internmetoden.</w:t>
            </w:r>
          </w:p>
        </w:tc>
      </w:tr>
      <w:tr w:rsidR="002A54FF" w:rsidRPr="00E75BB8" w14:paraId="1CBCAE59" w14:textId="77777777" w:rsidTr="000B66BC">
        <w:trPr>
          <w:trHeight w:val="71"/>
        </w:trPr>
        <w:tc>
          <w:tcPr>
            <w:tcW w:w="1559" w:type="dxa"/>
            <w:shd w:val="clear" w:color="auto" w:fill="FFFFFF"/>
          </w:tcPr>
          <w:p w14:paraId="546A1715" w14:textId="2259578F"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{0080;0030}</w:t>
            </w:r>
          </w:p>
        </w:tc>
        <w:tc>
          <w:tcPr>
            <w:tcW w:w="7406" w:type="dxa"/>
            <w:shd w:val="clear" w:color="auto" w:fill="FFFFFF"/>
          </w:tcPr>
          <w:p w14:paraId="05046869" w14:textId="5880D72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Säkerställda obligationer – riskvägt exponeringsbelopp – exponeringar enligt schablonmetoden</w:t>
            </w:r>
          </w:p>
          <w:p w14:paraId="6C4B05A8" w14:textId="0D9A76AD"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Riskvägt exponeringsbelopp för tillgångar som utgör exponeringar enligt schablonmetoden i form av säkerställda obligationer i enlighet med artikel 129 i förordning (EU) nr 575/2013</w:t>
            </w:r>
          </w:p>
          <w:p w14:paraId="44B63283" w14:textId="34A33B6E"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schablonmetoden.</w:t>
            </w:r>
          </w:p>
        </w:tc>
      </w:tr>
      <w:tr w:rsidR="002A54FF" w:rsidRPr="00E75BB8" w14:paraId="49349ECB" w14:textId="77777777" w:rsidTr="000B66BC">
        <w:trPr>
          <w:trHeight w:val="71"/>
        </w:trPr>
        <w:tc>
          <w:tcPr>
            <w:tcW w:w="1559" w:type="dxa"/>
            <w:shd w:val="clear" w:color="auto" w:fill="FFFFFF"/>
          </w:tcPr>
          <w:p w14:paraId="0D794F3F" w14:textId="2F016AE6"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{0080;0040}</w:t>
            </w:r>
          </w:p>
        </w:tc>
        <w:tc>
          <w:tcPr>
            <w:tcW w:w="7406" w:type="dxa"/>
            <w:shd w:val="clear" w:color="auto" w:fill="FFFFFF"/>
          </w:tcPr>
          <w:p w14:paraId="513DAEE1" w14:textId="752BA960"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Säkerställda obligationer – riskvägt exponeringsbelopp – exponeringar enligt internmetod</w:t>
            </w:r>
          </w:p>
          <w:p w14:paraId="466ABC6A" w14:textId="79C7859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Riskvägt exponeringsbelopp för tillgångar som utgör exponeringar enligt internmetoden i form av säkerställda obligationer i enlighet med artikel 161.1 d i förordning (EU) nr 575/2013</w:t>
            </w:r>
          </w:p>
          <w:p w14:paraId="64310FB6" w14:textId="6BA4916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Institut ska rapportera detta minus fallerade exponeringar enligt internmetoden.</w:t>
            </w:r>
          </w:p>
        </w:tc>
      </w:tr>
      <w:tr w:rsidR="002A54FF" w:rsidRPr="00E75BB8" w14:paraId="00C56CBD" w14:textId="77777777" w:rsidTr="000B66BC">
        <w:trPr>
          <w:trHeight w:val="71"/>
        </w:trPr>
        <w:tc>
          <w:tcPr>
            <w:tcW w:w="1559" w:type="dxa"/>
            <w:shd w:val="clear" w:color="auto" w:fill="FFFFFF"/>
          </w:tcPr>
          <w:p w14:paraId="02BCBE3F" w14:textId="6D5D74E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{0090,0010}</w:t>
            </w:r>
          </w:p>
        </w:tc>
        <w:tc>
          <w:tcPr>
            <w:tcW w:w="7406" w:type="dxa"/>
            <w:shd w:val="clear" w:color="auto" w:fill="FFFFFF"/>
          </w:tcPr>
          <w:p w14:paraId="7C0C026C" w14:textId="236A8C0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Exponeringar som hanteras som exponeringar mot nationella regeringar – bruttosoliditetsgradens exponeringsvärde – exponeringar enligt schablonmetoden</w:t>
            </w:r>
          </w:p>
          <w:p w14:paraId="0909B157" w14:textId="2673F0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Detta ska vara summan av cellerna från {0100,0010} till {0130,0010}.</w:t>
            </w:r>
          </w:p>
          <w:p w14:paraId="144D9E7A" w14:textId="795F478B"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sz w:val="24"/>
              </w:rPr>
              <w:t>Institut ska rapportera detta minus fallerade exponeringar enligt schablonmetoden.</w:t>
            </w:r>
          </w:p>
        </w:tc>
      </w:tr>
      <w:tr w:rsidR="002A54FF" w:rsidRPr="00E75BB8" w14:paraId="312BA98B" w14:textId="77777777" w:rsidTr="000B66BC">
        <w:trPr>
          <w:trHeight w:val="71"/>
        </w:trPr>
        <w:tc>
          <w:tcPr>
            <w:tcW w:w="1559" w:type="dxa"/>
            <w:shd w:val="clear" w:color="auto" w:fill="FFFFFF"/>
          </w:tcPr>
          <w:p w14:paraId="30E94DE7" w14:textId="72315A87"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{0090;0020}</w:t>
            </w:r>
          </w:p>
        </w:tc>
        <w:tc>
          <w:tcPr>
            <w:tcW w:w="7406" w:type="dxa"/>
            <w:shd w:val="clear" w:color="auto" w:fill="FFFFFF"/>
          </w:tcPr>
          <w:p w14:paraId="015E561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Exponeringar som hanteras som exponeringar mot nationella regeringar – bruttosoliditetsgradens exponeringsvärde – exponeringar enligt internmetod</w:t>
            </w:r>
          </w:p>
          <w:p w14:paraId="361C00EC" w14:textId="191A9CA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Detta ska vara summan av cellerna från {0100,0020} till {0130,0020}.</w:t>
            </w:r>
          </w:p>
          <w:p w14:paraId="4CE96745" w14:textId="2CF889E3"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internmetoden.</w:t>
            </w:r>
          </w:p>
        </w:tc>
      </w:tr>
      <w:tr w:rsidR="002A54FF" w:rsidRPr="00E75BB8" w14:paraId="0C1D3372" w14:textId="77777777" w:rsidTr="000B66BC">
        <w:trPr>
          <w:trHeight w:val="71"/>
        </w:trPr>
        <w:tc>
          <w:tcPr>
            <w:tcW w:w="1559" w:type="dxa"/>
            <w:shd w:val="clear" w:color="auto" w:fill="FFFFFF"/>
          </w:tcPr>
          <w:p w14:paraId="73140D6A" w14:textId="181D4B9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{0090;0030}</w:t>
            </w:r>
          </w:p>
        </w:tc>
        <w:tc>
          <w:tcPr>
            <w:tcW w:w="7406" w:type="dxa"/>
            <w:shd w:val="clear" w:color="auto" w:fill="FFFFFF"/>
          </w:tcPr>
          <w:p w14:paraId="63538621" w14:textId="36E91980"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Exponeringar som hanteras som exponeringar mot nationella regeringar – riskvägt exponeringsbelopp – exponeringar enligt schablonmetoden</w:t>
            </w:r>
          </w:p>
          <w:p w14:paraId="2FE3A5A6" w14:textId="0A48A5C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Detta ska vara summan av cellerna från {0100,0030} till {0130,0030}.</w:t>
            </w:r>
          </w:p>
          <w:p w14:paraId="576656CF" w14:textId="7109E0FD"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schablonmetoden.</w:t>
            </w:r>
          </w:p>
        </w:tc>
      </w:tr>
      <w:tr w:rsidR="002A54FF" w:rsidRPr="00E75BB8" w14:paraId="6675B4A2" w14:textId="77777777" w:rsidTr="000B66BC">
        <w:trPr>
          <w:trHeight w:val="71"/>
        </w:trPr>
        <w:tc>
          <w:tcPr>
            <w:tcW w:w="1559" w:type="dxa"/>
            <w:shd w:val="clear" w:color="auto" w:fill="FFFFFF"/>
          </w:tcPr>
          <w:p w14:paraId="574B53A3" w14:textId="5AEDFC5A"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{0090;0040}</w:t>
            </w:r>
          </w:p>
        </w:tc>
        <w:tc>
          <w:tcPr>
            <w:tcW w:w="7406" w:type="dxa"/>
            <w:shd w:val="clear" w:color="auto" w:fill="FFFFFF"/>
          </w:tcPr>
          <w:p w14:paraId="7FD46908" w14:textId="76F6E5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Exponeringar som hanteras som exponeringar mot nationella regeringar – riskvägt exponeringsbelopp – exponeringar enligt internmetod</w:t>
            </w:r>
          </w:p>
          <w:p w14:paraId="0EE39545" w14:textId="4A51FB5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Detta ska vara summan av cellerna från {0100,0040} till {0130,0040}.</w:t>
            </w:r>
          </w:p>
          <w:p w14:paraId="21E4ED70" w14:textId="10D77DF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internmetoden.</w:t>
            </w:r>
          </w:p>
        </w:tc>
      </w:tr>
      <w:tr w:rsidR="002A54FF" w:rsidRPr="00E75BB8" w14:paraId="7DDC06EC" w14:textId="77777777" w:rsidTr="000B66BC">
        <w:trPr>
          <w:trHeight w:val="71"/>
        </w:trPr>
        <w:tc>
          <w:tcPr>
            <w:tcW w:w="1559" w:type="dxa"/>
            <w:shd w:val="clear" w:color="auto" w:fill="FFFFFF"/>
          </w:tcPr>
          <w:p w14:paraId="4C9F879D" w14:textId="3D24C7C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{0100;0010}</w:t>
            </w:r>
          </w:p>
        </w:tc>
        <w:tc>
          <w:tcPr>
            <w:tcW w:w="7406" w:type="dxa"/>
            <w:shd w:val="clear" w:color="auto" w:fill="FFFFFF"/>
          </w:tcPr>
          <w:p w14:paraId="1F2266EE"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sz w:val="24"/>
              </w:rPr>
              <w:t>Nationella regeringar och centralbanker</w:t>
            </w:r>
            <w:r>
              <w:rPr>
                <w:rFonts w:ascii="Times New Roman" w:hAnsi="Times New Roman"/>
                <w:sz w:val="24"/>
              </w:rPr>
              <w:t xml:space="preserve"> </w:t>
            </w:r>
            <w:r>
              <w:rPr>
                <w:rFonts w:ascii="Times New Roman" w:hAnsi="Times New Roman"/>
                <w:b/>
                <w:sz w:val="24"/>
              </w:rPr>
              <w:t>– bruttosoliditetsgradens exponeringsvärde – exponeringar enligt schablonmetoden</w:t>
            </w:r>
          </w:p>
          <w:p w14:paraId="6613A997" w14:textId="765CDB4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Bruttosoliditetsgradens exponeringsvärde av tillgångar som utgör exponeringar enligt schablonmetoden mot nationella regeringar eller centralbanker i enlighet med artikel 114 i förordning (EU) nr 575/2013</w:t>
            </w:r>
          </w:p>
          <w:p w14:paraId="7F55138D" w14:textId="75576E6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schablonmetoden.</w:t>
            </w:r>
          </w:p>
        </w:tc>
      </w:tr>
      <w:tr w:rsidR="002A54FF" w:rsidRPr="00E75BB8" w14:paraId="0B4E6569" w14:textId="77777777" w:rsidTr="000B66BC">
        <w:trPr>
          <w:trHeight w:val="71"/>
        </w:trPr>
        <w:tc>
          <w:tcPr>
            <w:tcW w:w="1559" w:type="dxa"/>
            <w:shd w:val="clear" w:color="auto" w:fill="FFFFFF"/>
          </w:tcPr>
          <w:p w14:paraId="7D0291ED" w14:textId="3AD0608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{0100;0020}</w:t>
            </w:r>
          </w:p>
        </w:tc>
        <w:tc>
          <w:tcPr>
            <w:tcW w:w="7406" w:type="dxa"/>
            <w:shd w:val="clear" w:color="auto" w:fill="FFFFFF"/>
          </w:tcPr>
          <w:p w14:paraId="66A53D96"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sz w:val="24"/>
              </w:rPr>
              <w:t>Nationella regeringar och centralbanker – bruttosoliditetsgradens exponeringsvärde – exponeringar enligt internmetod</w:t>
            </w:r>
          </w:p>
          <w:p w14:paraId="517FD145" w14:textId="6355228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Bruttosoliditetsgradens exponeringsvärde av tillgångar som utgör exponeringar enligt internmetoden mot nationella regeringar eller centralbanker i enlighet med artikel 147.2 a i förordning (EU) nr 575/2013</w:t>
            </w:r>
          </w:p>
          <w:p w14:paraId="0885AD1A" w14:textId="0035770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Institut ska rapportera detta minus fallerade exponeringar enligt internmetoden.</w:t>
            </w:r>
          </w:p>
        </w:tc>
      </w:tr>
      <w:tr w:rsidR="002A54FF" w:rsidRPr="00E75BB8" w14:paraId="73380BA6" w14:textId="77777777" w:rsidTr="000B66BC">
        <w:trPr>
          <w:trHeight w:val="71"/>
        </w:trPr>
        <w:tc>
          <w:tcPr>
            <w:tcW w:w="1559" w:type="dxa"/>
            <w:shd w:val="clear" w:color="auto" w:fill="FFFFFF"/>
          </w:tcPr>
          <w:p w14:paraId="59953201" w14:textId="4A0778FE"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{0100;0030}</w:t>
            </w:r>
          </w:p>
        </w:tc>
        <w:tc>
          <w:tcPr>
            <w:tcW w:w="7406" w:type="dxa"/>
            <w:shd w:val="clear" w:color="auto" w:fill="FFFFFF"/>
          </w:tcPr>
          <w:p w14:paraId="26718359" w14:textId="1E245CA7" w:rsidR="002509B1" w:rsidRPr="000B66BC" w:rsidRDefault="00F4754B" w:rsidP="000B66BC">
            <w:pPr>
              <w:pStyle w:val="BodyText1"/>
              <w:spacing w:after="240" w:line="240" w:lineRule="auto"/>
              <w:rPr>
                <w:rFonts w:ascii="Times New Roman" w:hAnsi="Times New Roman"/>
                <w:sz w:val="24"/>
                <w:szCs w:val="24"/>
              </w:rPr>
            </w:pPr>
            <w:r>
              <w:rPr>
                <w:rFonts w:ascii="Times New Roman" w:hAnsi="Times New Roman"/>
                <w:b/>
                <w:sz w:val="24"/>
              </w:rPr>
              <w:t>Nationella regeringar och centralbanker</w:t>
            </w:r>
            <w:r>
              <w:rPr>
                <w:rFonts w:ascii="Times New Roman" w:hAnsi="Times New Roman"/>
                <w:sz w:val="24"/>
              </w:rPr>
              <w:t xml:space="preserve"> </w:t>
            </w:r>
            <w:r>
              <w:rPr>
                <w:rFonts w:ascii="Times New Roman" w:hAnsi="Times New Roman"/>
                <w:b/>
                <w:sz w:val="24"/>
              </w:rPr>
              <w:t>– riskvägt exponeringsbelopp – exponeringar enligt schablonmetoden</w:t>
            </w:r>
          </w:p>
          <w:p w14:paraId="1057171E" w14:textId="5419CED6"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Riskvägt exponeringsbelopp för tillgångar som utgör exponeringar enligt schablonmetoden mot nationella regeringar eller centralbanker i enlighet med artikel 114 i förordning (EU) nr 575/2013</w:t>
            </w:r>
          </w:p>
          <w:p w14:paraId="47506B7A" w14:textId="150E5BC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schablonmetoden.</w:t>
            </w:r>
          </w:p>
        </w:tc>
      </w:tr>
      <w:tr w:rsidR="002A54FF" w:rsidRPr="00E75BB8" w14:paraId="4C792316" w14:textId="77777777" w:rsidTr="000B66BC">
        <w:trPr>
          <w:trHeight w:val="71"/>
        </w:trPr>
        <w:tc>
          <w:tcPr>
            <w:tcW w:w="1559" w:type="dxa"/>
            <w:shd w:val="clear" w:color="auto" w:fill="FFFFFF"/>
          </w:tcPr>
          <w:p w14:paraId="4823C176" w14:textId="2320977D"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{0100;0040}</w:t>
            </w:r>
          </w:p>
        </w:tc>
        <w:tc>
          <w:tcPr>
            <w:tcW w:w="7406" w:type="dxa"/>
            <w:shd w:val="clear" w:color="auto" w:fill="FFFFFF"/>
          </w:tcPr>
          <w:p w14:paraId="1EC1A3E9" w14:textId="34606682"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sz w:val="24"/>
              </w:rPr>
              <w:t>Nationella regeringar och centralbanker</w:t>
            </w:r>
            <w:r>
              <w:rPr>
                <w:rFonts w:ascii="Times New Roman" w:hAnsi="Times New Roman"/>
                <w:sz w:val="24"/>
              </w:rPr>
              <w:t xml:space="preserve"> </w:t>
            </w:r>
            <w:r>
              <w:rPr>
                <w:rFonts w:ascii="Times New Roman" w:hAnsi="Times New Roman"/>
                <w:b/>
                <w:sz w:val="24"/>
              </w:rPr>
              <w:t>– riskvägt exponeringsbelopp – exponeringar enligt internmetod</w:t>
            </w:r>
          </w:p>
          <w:p w14:paraId="47A75B9C" w14:textId="7D20BA0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Riskvägt exponeringsbelopp för tillgångar som utgör exponeringar enligt internmetoden mot nationella regeringar eller centralbanker i enlighet med artikel 147.2 a i förordning (EU) nr 575/2013</w:t>
            </w:r>
          </w:p>
          <w:p w14:paraId="58C303E4" w14:textId="75B02A1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internmetoden.</w:t>
            </w:r>
          </w:p>
        </w:tc>
      </w:tr>
      <w:tr w:rsidR="002A54FF" w:rsidRPr="00E75BB8" w14:paraId="7B8E2851" w14:textId="77777777" w:rsidTr="000B66BC">
        <w:trPr>
          <w:trHeight w:val="71"/>
        </w:trPr>
        <w:tc>
          <w:tcPr>
            <w:tcW w:w="1559" w:type="dxa"/>
            <w:shd w:val="clear" w:color="auto" w:fill="FFFFFF"/>
          </w:tcPr>
          <w:p w14:paraId="5E43D3FD" w14:textId="0F5E5E7C"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{0110;0010}</w:t>
            </w:r>
          </w:p>
        </w:tc>
        <w:tc>
          <w:tcPr>
            <w:tcW w:w="7406" w:type="dxa"/>
            <w:shd w:val="clear" w:color="auto" w:fill="FFFFFF"/>
          </w:tcPr>
          <w:p w14:paraId="0A9C6204" w14:textId="024ADD9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Delstatliga eller lokala självstyrelseorgan och myndigheter som behandlas som nationella regeringar – bruttosoliditetsgradens exponeringsvärde – exponeringar enligt schablonmetoden</w:t>
            </w:r>
          </w:p>
          <w:p w14:paraId="5294E5EC" w14:textId="6B8CEFD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Bruttosoliditetsgradens exponeringsvärde av tillgångar som utgör exponeringar enligt schablonmetoden mot regionala självstyrelseorgan eller </w:t>
            </w:r>
            <w:r>
              <w:rPr>
                <w:rFonts w:ascii="Times New Roman" w:hAnsi="Times New Roman"/>
                <w:sz w:val="24"/>
              </w:rPr>
              <w:lastRenderedPageBreak/>
              <w:t>lokala myndigheter som behandlas som nationella regeringar i enlighet med artikel 115.2 och 115.4 i förordning (EU) nr 575/2013</w:t>
            </w:r>
          </w:p>
          <w:p w14:paraId="42456706" w14:textId="2E28EB95"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sz w:val="24"/>
              </w:rPr>
              <w:t>Institut ska rapportera detta minus fallerade exponeringar enligt schablonmetoden.</w:t>
            </w:r>
          </w:p>
        </w:tc>
      </w:tr>
      <w:tr w:rsidR="002A54FF" w:rsidRPr="00E75BB8" w14:paraId="1964D3AE" w14:textId="77777777" w:rsidTr="000B66BC">
        <w:trPr>
          <w:trHeight w:val="71"/>
        </w:trPr>
        <w:tc>
          <w:tcPr>
            <w:tcW w:w="1559" w:type="dxa"/>
            <w:shd w:val="clear" w:color="auto" w:fill="FFFFFF"/>
          </w:tcPr>
          <w:p w14:paraId="17ADB526" w14:textId="2E03421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{0110;0020}</w:t>
            </w:r>
          </w:p>
        </w:tc>
        <w:tc>
          <w:tcPr>
            <w:tcW w:w="7406" w:type="dxa"/>
            <w:shd w:val="clear" w:color="auto" w:fill="FFFFFF"/>
          </w:tcPr>
          <w:p w14:paraId="7E0B20E2"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Delstatliga eller lokala självstyrelseorgan och myndigheter som behandlas som nationella regeringar – bruttosoliditetsgradens exponeringsvärde – exponeringar enligt internmetod</w:t>
            </w:r>
          </w:p>
          <w:p w14:paraId="02346C27" w14:textId="18DAC4FC"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Bruttosoliditetsgradens exponeringsvärde av tillgångar som utgör exponeringar enligt internmetoden mot delstatliga eller lokala självstyrelseorgan och myndigheter som omfattas av artikel 147.3 a i förordning (EU) nr 575/2013</w:t>
            </w:r>
          </w:p>
          <w:p w14:paraId="3496D48C" w14:textId="78A5578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internmetoden.</w:t>
            </w:r>
          </w:p>
        </w:tc>
      </w:tr>
      <w:tr w:rsidR="002A54FF" w:rsidRPr="00E75BB8" w14:paraId="2038F08C" w14:textId="77777777" w:rsidTr="000B66BC">
        <w:trPr>
          <w:trHeight w:val="71"/>
        </w:trPr>
        <w:tc>
          <w:tcPr>
            <w:tcW w:w="1559" w:type="dxa"/>
            <w:shd w:val="clear" w:color="auto" w:fill="FFFFFF"/>
          </w:tcPr>
          <w:p w14:paraId="4C19855D" w14:textId="4D9B42F1"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{0110;0030}</w:t>
            </w:r>
          </w:p>
        </w:tc>
        <w:tc>
          <w:tcPr>
            <w:tcW w:w="7406" w:type="dxa"/>
            <w:shd w:val="clear" w:color="auto" w:fill="FFFFFF"/>
          </w:tcPr>
          <w:p w14:paraId="0A1E21BF" w14:textId="5863EAF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Delstatliga eller lokala självstyrelseorgan och myndigheter som behandlas som nationella regeringar – riskvägt exponeringsbelopp – exponeringar enligt schablonmetoden</w:t>
            </w:r>
          </w:p>
          <w:p w14:paraId="38C283FD" w14:textId="1BC3A6F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Riskvägt exponeringsbelopp för tillgångar som utgör exponeringar enligt schablonmetoden mot delstatliga eller lokala självstyrelseorgan och myndigheter som behandlas som nationella regeringar i enlighet med artikel 115.2 och 115.4 i förordning (EU) nr 575/2013</w:t>
            </w:r>
          </w:p>
          <w:p w14:paraId="6D7AEF3D" w14:textId="0D5AC65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schablonmetoden.</w:t>
            </w:r>
          </w:p>
        </w:tc>
      </w:tr>
      <w:tr w:rsidR="002A54FF" w:rsidRPr="00E75BB8" w14:paraId="5BE41E62" w14:textId="77777777" w:rsidTr="000B66BC">
        <w:trPr>
          <w:trHeight w:val="71"/>
        </w:trPr>
        <w:tc>
          <w:tcPr>
            <w:tcW w:w="1559" w:type="dxa"/>
            <w:shd w:val="clear" w:color="auto" w:fill="FFFFFF"/>
          </w:tcPr>
          <w:p w14:paraId="4370E83A" w14:textId="1FE6323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{0110;0040}</w:t>
            </w:r>
          </w:p>
        </w:tc>
        <w:tc>
          <w:tcPr>
            <w:tcW w:w="7406" w:type="dxa"/>
            <w:shd w:val="clear" w:color="auto" w:fill="FFFFFF"/>
          </w:tcPr>
          <w:p w14:paraId="0A1135F8" w14:textId="6E78745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Delstatliga eller lokala självstyrelseorgan och myndigheter som behandlas som nationella regeringar – riskvägt exponeringsbelopp – exponeringar enligt internmetod</w:t>
            </w:r>
          </w:p>
          <w:p w14:paraId="099D799F" w14:textId="3BE99DD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Riskvägt exponeringsbelopp för tillgångar som utgör exponeringar enligt internmetoden mot delstatliga eller lokala självstyrelseorgan och myndigheter som omfattas av artikel 147.3 a i förordning (EU) nr 575/2013</w:t>
            </w:r>
          </w:p>
          <w:p w14:paraId="77DFB307" w14:textId="152C7BA5"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internmetoden.</w:t>
            </w:r>
          </w:p>
        </w:tc>
      </w:tr>
      <w:tr w:rsidR="002A54FF" w:rsidRPr="00E75BB8" w14:paraId="4E6380BD" w14:textId="77777777" w:rsidTr="000B66BC">
        <w:trPr>
          <w:trHeight w:val="71"/>
        </w:trPr>
        <w:tc>
          <w:tcPr>
            <w:tcW w:w="1559" w:type="dxa"/>
            <w:shd w:val="clear" w:color="auto" w:fill="FFFFFF"/>
          </w:tcPr>
          <w:p w14:paraId="596E85C5" w14:textId="5E9760D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{0120;0010}</w:t>
            </w:r>
          </w:p>
        </w:tc>
        <w:tc>
          <w:tcPr>
            <w:tcW w:w="7406" w:type="dxa"/>
            <w:shd w:val="clear" w:color="auto" w:fill="FFFFFF"/>
          </w:tcPr>
          <w:p w14:paraId="4E16BD03" w14:textId="66901F1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Multilaterala utvecklingsbanker och internationella organisationer som behandlas som nationella regeringar – bruttosoliditetsgradens exponeringsvärde – exponeringar enligt schablonmetoden</w:t>
            </w:r>
          </w:p>
          <w:p w14:paraId="595E0D3B" w14:textId="0C58EC7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Bruttosoliditetsgradens exponeringsvärde av tillgångar som utgör exponeringar enligt schablonmetoden mot multilaterala utvecklingsbanker och internationella organisationer som omfattas av artiklarna 117.2 och 118 i förordning (EU) nr 575/2013</w:t>
            </w:r>
          </w:p>
          <w:p w14:paraId="4013B069" w14:textId="0EB1BFF4"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Institut ska rapportera detta minus fallerade exponeringar enligt schablonmetoden.</w:t>
            </w:r>
          </w:p>
        </w:tc>
      </w:tr>
      <w:tr w:rsidR="002A54FF" w:rsidRPr="00E75BB8" w14:paraId="26302257" w14:textId="77777777" w:rsidTr="000B66BC">
        <w:trPr>
          <w:trHeight w:val="71"/>
        </w:trPr>
        <w:tc>
          <w:tcPr>
            <w:tcW w:w="1559" w:type="dxa"/>
            <w:shd w:val="clear" w:color="auto" w:fill="FFFFFF"/>
          </w:tcPr>
          <w:p w14:paraId="5A4EAF45" w14:textId="12E4FA7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{0120;0020}</w:t>
            </w:r>
          </w:p>
        </w:tc>
        <w:tc>
          <w:tcPr>
            <w:tcW w:w="7406" w:type="dxa"/>
            <w:shd w:val="clear" w:color="auto" w:fill="FFFFFF"/>
          </w:tcPr>
          <w:p w14:paraId="76A1CB53" w14:textId="541DA8F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Multilaterala utvecklingsbanker och internationella organisationer som behandlas som nationella regeringar – bruttosoliditetsgradens exponeringsvärde – exponeringar enligt internmetod</w:t>
            </w:r>
          </w:p>
          <w:p w14:paraId="3802319A" w14:textId="4A7557C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Bruttosoliditetsgradens exponeringsvärde av tillgångar som utgör exponeringar enligt internmetoden mot multilaterala utvecklingsbanker och internationella organisationer som omfattas av artikel 147.3 b och c i förordning (EU) nr 575/2013</w:t>
            </w:r>
          </w:p>
          <w:p w14:paraId="4070105A" w14:textId="4FC040B2"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Institut ska rapportera detta minus fallerade exponeringar enligt internmetoden.</w:t>
            </w:r>
          </w:p>
        </w:tc>
      </w:tr>
      <w:tr w:rsidR="002A54FF" w:rsidRPr="00E75BB8" w14:paraId="3B2553E8" w14:textId="77777777" w:rsidTr="000B66BC">
        <w:trPr>
          <w:trHeight w:val="71"/>
        </w:trPr>
        <w:tc>
          <w:tcPr>
            <w:tcW w:w="1559" w:type="dxa"/>
            <w:shd w:val="clear" w:color="auto" w:fill="FFFFFF"/>
          </w:tcPr>
          <w:p w14:paraId="1FA22EB0" w14:textId="05DF8D9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{0120;0030}</w:t>
            </w:r>
          </w:p>
        </w:tc>
        <w:tc>
          <w:tcPr>
            <w:tcW w:w="7406" w:type="dxa"/>
            <w:shd w:val="clear" w:color="auto" w:fill="FFFFFF"/>
          </w:tcPr>
          <w:p w14:paraId="297278EC" w14:textId="1D7EC442"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Multilaterala utvecklingsbanker och internationella organisationer som behandlas som nationella regeringar – riskvägt exponeringsbelopp – exponeringar enligt schablonmetoden</w:t>
            </w:r>
          </w:p>
          <w:p w14:paraId="37FB9B14" w14:textId="12B4EAA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Riskvägt exponeringsbelopp för tillgångar som utgör exponeringar enligt schablonmetoden mot multilaterala utvecklingsbanker och internationella organisationer som omfattas av artiklarna 117.2 och 118 i förordning (EU) nr 575/2013</w:t>
            </w:r>
          </w:p>
          <w:p w14:paraId="21D9C9F4" w14:textId="49EA3C70"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schablonmetoden.</w:t>
            </w:r>
          </w:p>
        </w:tc>
      </w:tr>
      <w:tr w:rsidR="002A54FF" w:rsidRPr="00E75BB8" w14:paraId="57DE532D" w14:textId="77777777" w:rsidTr="000B66BC">
        <w:trPr>
          <w:trHeight w:val="71"/>
        </w:trPr>
        <w:tc>
          <w:tcPr>
            <w:tcW w:w="1559" w:type="dxa"/>
            <w:shd w:val="clear" w:color="auto" w:fill="FFFFFF"/>
          </w:tcPr>
          <w:p w14:paraId="2210C2F3" w14:textId="0756556E"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{1020;0040}</w:t>
            </w:r>
          </w:p>
        </w:tc>
        <w:tc>
          <w:tcPr>
            <w:tcW w:w="7406" w:type="dxa"/>
            <w:shd w:val="clear" w:color="auto" w:fill="FFFFFF"/>
          </w:tcPr>
          <w:p w14:paraId="25AE3663" w14:textId="3A1D7E0A"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Multilaterala utvecklingsbanker och internationella organisationer som behandlas som nationella regeringar – riskvägt exponeringsbelopp – exponeringar enligt internmetod</w:t>
            </w:r>
          </w:p>
          <w:p w14:paraId="0A7C504F" w14:textId="419B949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Riskvägt exponeringsbelopp för tillgångar som utgör exponeringar enligt internmetoden mot multilaterala utvecklingsbanker och internationella organisationer som omfattas av artikel 147.3 b och c i förordning (EU) nr 575/2013</w:t>
            </w:r>
          </w:p>
          <w:p w14:paraId="4B60B3CB" w14:textId="76329F3C" w:rsidR="002509B1" w:rsidRPr="000B66BC" w:rsidRDefault="009C4E79" w:rsidP="000B66BC">
            <w:pPr>
              <w:pStyle w:val="BodyText1"/>
              <w:spacing w:after="240" w:line="240" w:lineRule="auto"/>
              <w:rPr>
                <w:rFonts w:ascii="Times New Roman" w:hAnsi="Times New Roman"/>
                <w:b/>
                <w:bCs/>
                <w:sz w:val="24"/>
                <w:szCs w:val="24"/>
              </w:rPr>
            </w:pPr>
            <w:r>
              <w:rPr>
                <w:rFonts w:ascii="Times New Roman" w:hAnsi="Times New Roman"/>
                <w:sz w:val="24"/>
              </w:rPr>
              <w:t>Institut ska rapportera detta minus fallerade exponeringar enligt internmetoden.</w:t>
            </w:r>
          </w:p>
        </w:tc>
      </w:tr>
      <w:tr w:rsidR="002A54FF" w:rsidRPr="00E75BB8" w14:paraId="231E48A1" w14:textId="77777777" w:rsidTr="000B66BC">
        <w:trPr>
          <w:trHeight w:val="71"/>
        </w:trPr>
        <w:tc>
          <w:tcPr>
            <w:tcW w:w="1559" w:type="dxa"/>
            <w:shd w:val="clear" w:color="auto" w:fill="FFFFFF"/>
          </w:tcPr>
          <w:p w14:paraId="0729DCCA" w14:textId="1813ABC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{0130;0010}</w:t>
            </w:r>
          </w:p>
        </w:tc>
        <w:tc>
          <w:tcPr>
            <w:tcW w:w="7406" w:type="dxa"/>
            <w:shd w:val="clear" w:color="auto" w:fill="FFFFFF"/>
          </w:tcPr>
          <w:p w14:paraId="03377C61" w14:textId="0F13B636"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Offentliga organ som behandlas som nationella regeringar – bruttosoliditetsgradens exponeringsvärde – exponeringar enligt schablonmetoden</w:t>
            </w:r>
          </w:p>
          <w:p w14:paraId="7D8203A3" w14:textId="08A1137F"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Bruttosoliditetsgradens exponeringsvärde av tillgångar som utgör exponeringar enligt schablonmetoden mot offentliga organ som omfattas av artikel 116.4 i förordning (EU) nr 575/2013</w:t>
            </w:r>
          </w:p>
          <w:p w14:paraId="4AA47B62" w14:textId="393B657D"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sz w:val="24"/>
              </w:rPr>
              <w:t>Institut ska rapportera detta minus fallerade exponeringar enligt schablonmetoden.</w:t>
            </w:r>
          </w:p>
        </w:tc>
      </w:tr>
      <w:tr w:rsidR="002A54FF" w:rsidRPr="00E75BB8" w14:paraId="3CE3539B" w14:textId="77777777" w:rsidTr="000B66BC">
        <w:trPr>
          <w:trHeight w:val="71"/>
        </w:trPr>
        <w:tc>
          <w:tcPr>
            <w:tcW w:w="1559" w:type="dxa"/>
            <w:shd w:val="clear" w:color="auto" w:fill="FFFFFF"/>
          </w:tcPr>
          <w:p w14:paraId="5BD4FCC9" w14:textId="4A185F0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{0130;0020}</w:t>
            </w:r>
          </w:p>
        </w:tc>
        <w:tc>
          <w:tcPr>
            <w:tcW w:w="7406" w:type="dxa"/>
            <w:shd w:val="clear" w:color="auto" w:fill="FFFFFF"/>
          </w:tcPr>
          <w:p w14:paraId="3B63499B" w14:textId="36B14D4C"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Offentliga organ som behandlas som nationella regeringar – bruttosoliditetsgradens exponeringsvärde – exponeringar enligt internmetod</w:t>
            </w:r>
          </w:p>
          <w:p w14:paraId="6B0B91A7" w14:textId="2675950D"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Bruttosoliditetsgradens exponeringsbelopp när det gäller tillgångar som utgör exponeringar enligt internmetoden mot offentliga organ som omfattas av artikel 147.3 a i förordning (EU) nr 575/2013</w:t>
            </w:r>
          </w:p>
          <w:p w14:paraId="359554CF" w14:textId="52EF4F2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Institut ska rapportera detta minus fallerade exponeringar enligt internmetoden.</w:t>
            </w:r>
          </w:p>
        </w:tc>
      </w:tr>
      <w:tr w:rsidR="002A54FF" w:rsidRPr="00E75BB8" w14:paraId="66BBD644" w14:textId="77777777" w:rsidTr="000B66BC">
        <w:trPr>
          <w:trHeight w:val="71"/>
        </w:trPr>
        <w:tc>
          <w:tcPr>
            <w:tcW w:w="1559" w:type="dxa"/>
            <w:shd w:val="clear" w:color="auto" w:fill="FFFFFF"/>
          </w:tcPr>
          <w:p w14:paraId="780B22F1" w14:textId="38F1137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{0130;0030}</w:t>
            </w:r>
          </w:p>
        </w:tc>
        <w:tc>
          <w:tcPr>
            <w:tcW w:w="7406" w:type="dxa"/>
            <w:shd w:val="clear" w:color="auto" w:fill="FFFFFF"/>
          </w:tcPr>
          <w:p w14:paraId="1DD3711A" w14:textId="41BC0A58"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Offentliga organ som behandlas som nationella regeringar – riskvägt exponeringsbelopp – exponeringar enligt schablonmetoden</w:t>
            </w:r>
          </w:p>
          <w:p w14:paraId="53A6C1B8" w14:textId="07E3EA1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Riskvägt exponeringsbelopp för tillgångar som utgör exponeringar enligt schablonmetoden mot offentliga organ som omfattas av artikel 116.4 i förordning (EU) nr 575/2013</w:t>
            </w:r>
          </w:p>
          <w:p w14:paraId="432B1470" w14:textId="36FFD5B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schablonmetoden.</w:t>
            </w:r>
          </w:p>
        </w:tc>
      </w:tr>
      <w:tr w:rsidR="002A54FF" w:rsidRPr="00E75BB8" w14:paraId="6BE8DD32" w14:textId="77777777" w:rsidTr="000B66BC">
        <w:trPr>
          <w:trHeight w:val="71"/>
        </w:trPr>
        <w:tc>
          <w:tcPr>
            <w:tcW w:w="1559" w:type="dxa"/>
            <w:shd w:val="clear" w:color="auto" w:fill="FFFFFF"/>
          </w:tcPr>
          <w:p w14:paraId="4F17D6C7" w14:textId="60A1BB8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{0130;0040}</w:t>
            </w:r>
          </w:p>
        </w:tc>
        <w:tc>
          <w:tcPr>
            <w:tcW w:w="7406" w:type="dxa"/>
            <w:shd w:val="clear" w:color="auto" w:fill="FFFFFF"/>
          </w:tcPr>
          <w:p w14:paraId="60977598" w14:textId="37A519F1"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Offentliga organ som behandlas som nationella regeringar – riskvägt exponeringsbelopp – exponeringar enligt internmetod</w:t>
            </w:r>
          </w:p>
          <w:p w14:paraId="0EAECD4A" w14:textId="4D9944EF"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Riskvägt exponeringsbelopp för tillgångar som utgör exponeringar enligt internmetoden mot offentliga organ som omfattas av artikel 147.3 a i förordning (EU) nr 575/2013</w:t>
            </w:r>
          </w:p>
          <w:p w14:paraId="05B42B2C" w14:textId="7B404A8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internmetoden.</w:t>
            </w:r>
          </w:p>
        </w:tc>
      </w:tr>
      <w:tr w:rsidR="002A54FF" w:rsidRPr="00E75BB8" w14:paraId="35BDD4D3" w14:textId="77777777" w:rsidTr="000B66BC">
        <w:trPr>
          <w:trHeight w:val="71"/>
        </w:trPr>
        <w:tc>
          <w:tcPr>
            <w:tcW w:w="1559" w:type="dxa"/>
            <w:shd w:val="clear" w:color="auto" w:fill="FFFFFF"/>
          </w:tcPr>
          <w:p w14:paraId="5F7AB96E" w14:textId="4B2E707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{0140;0010}</w:t>
            </w:r>
          </w:p>
        </w:tc>
        <w:tc>
          <w:tcPr>
            <w:tcW w:w="7406" w:type="dxa"/>
            <w:shd w:val="clear" w:color="auto" w:fill="FFFFFF"/>
          </w:tcPr>
          <w:p w14:paraId="68676BE2" w14:textId="6C78BF9D"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Exponeringar mot delstatliga självstyrelseorgan, multilaterala utvecklingsbanker, internationella organisationer och offentliga organ som inte behandlas som exponeringar mot nationella regeringar – bruttosoliditetsgradens exponeringsvärde – exponeringar enligt schablonmetoden</w:t>
            </w:r>
          </w:p>
          <w:p w14:paraId="16F7D104" w14:textId="442558D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Detta ska vara summan av cellerna från {0150,0010} till {0170,0010}.</w:t>
            </w:r>
          </w:p>
          <w:p w14:paraId="56668309" w14:textId="21D6A0F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schablonmetoden.</w:t>
            </w:r>
          </w:p>
        </w:tc>
      </w:tr>
      <w:tr w:rsidR="002A54FF" w:rsidRPr="00E75BB8" w14:paraId="2401556C" w14:textId="77777777" w:rsidTr="000B66BC">
        <w:trPr>
          <w:trHeight w:val="71"/>
        </w:trPr>
        <w:tc>
          <w:tcPr>
            <w:tcW w:w="1559" w:type="dxa"/>
            <w:shd w:val="clear" w:color="auto" w:fill="FFFFFF"/>
          </w:tcPr>
          <w:p w14:paraId="4E9A7359" w14:textId="71A72E6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{0140;0020}</w:t>
            </w:r>
          </w:p>
        </w:tc>
        <w:tc>
          <w:tcPr>
            <w:tcW w:w="7406" w:type="dxa"/>
            <w:shd w:val="clear" w:color="auto" w:fill="FFFFFF"/>
          </w:tcPr>
          <w:p w14:paraId="16480F3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Exponeringar mot delstatliga självstyrelseorgan, multilaterala utvecklingsbanker, internationella organisationer och offentliga organ som inte behandlas som exponeringar mot nationella regeringar – bruttosoliditetsgradens exponeringsvärde – exponeringar enligt internmetod</w:t>
            </w:r>
          </w:p>
          <w:p w14:paraId="01EFE154" w14:textId="371562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Detta ska vara summan av cellerna från {0150,0020} till {0170,0020}.</w:t>
            </w:r>
          </w:p>
          <w:p w14:paraId="4BA214B6" w14:textId="386C4F7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Institut ska rapportera detta minus fallerade exponeringar enligt internmetoden.</w:t>
            </w:r>
          </w:p>
        </w:tc>
      </w:tr>
      <w:tr w:rsidR="002A54FF" w:rsidRPr="00E75BB8" w14:paraId="32DCABED" w14:textId="77777777" w:rsidTr="000B66BC">
        <w:trPr>
          <w:trHeight w:val="71"/>
        </w:trPr>
        <w:tc>
          <w:tcPr>
            <w:tcW w:w="1559" w:type="dxa"/>
            <w:shd w:val="clear" w:color="auto" w:fill="FFFFFF"/>
          </w:tcPr>
          <w:p w14:paraId="6236D8C3" w14:textId="2D8D1C9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{0140;0030}</w:t>
            </w:r>
          </w:p>
        </w:tc>
        <w:tc>
          <w:tcPr>
            <w:tcW w:w="7406" w:type="dxa"/>
            <w:shd w:val="clear" w:color="auto" w:fill="FFFFFF"/>
          </w:tcPr>
          <w:p w14:paraId="6D26AA72" w14:textId="198DF3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Exponeringar mot delstatliga självstyrelseorgan, multilaterala utvecklingsbanker, internationella organisationer och offentliga organ som inte behandlas som exponeringar mot nationella regeringar – riskvägt exponeringsbelopp – exponeringar enligt schablonmetoden</w:t>
            </w:r>
          </w:p>
          <w:p w14:paraId="001A76CB" w14:textId="449CD5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Detta ska vara summan av cellerna från {0150,0030} till {0170,0030}.</w:t>
            </w:r>
          </w:p>
          <w:p w14:paraId="0666DA98" w14:textId="42DCAEA8"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schablonmetoden.</w:t>
            </w:r>
          </w:p>
        </w:tc>
      </w:tr>
      <w:tr w:rsidR="002A54FF" w:rsidRPr="00E75BB8" w14:paraId="19788CFC" w14:textId="77777777" w:rsidTr="000B66BC">
        <w:trPr>
          <w:trHeight w:val="71"/>
        </w:trPr>
        <w:tc>
          <w:tcPr>
            <w:tcW w:w="1559" w:type="dxa"/>
            <w:shd w:val="clear" w:color="auto" w:fill="FFFFFF"/>
          </w:tcPr>
          <w:p w14:paraId="56BC83A9" w14:textId="067E360C"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{0140;0040}</w:t>
            </w:r>
          </w:p>
        </w:tc>
        <w:tc>
          <w:tcPr>
            <w:tcW w:w="7406" w:type="dxa"/>
            <w:shd w:val="clear" w:color="auto" w:fill="FFFFFF"/>
          </w:tcPr>
          <w:p w14:paraId="28502CF8" w14:textId="2725454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Exponeringar mot delstatliga självstyrelseorgan, multilaterala utvecklingsbanker, internationella organisationer och offentliga organ som inte behandlas som exponeringar mot nationella regeringar – riskvägt exponeringsbelopp – exponeringar enligt internmetod</w:t>
            </w:r>
          </w:p>
          <w:p w14:paraId="26D9E4F6" w14:textId="3F28B51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Detta ska vara summan av cellerna från {0150,0040} till {0170,0040}.</w:t>
            </w:r>
          </w:p>
          <w:p w14:paraId="6B0E2A45" w14:textId="73754F98"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Institut ska rapportera detta minus fallerade exponeringar enligt internmetoden.</w:t>
            </w:r>
          </w:p>
        </w:tc>
      </w:tr>
      <w:tr w:rsidR="002A54FF" w:rsidRPr="00E75BB8" w14:paraId="7FF2685B" w14:textId="77777777" w:rsidTr="000B66BC">
        <w:trPr>
          <w:trHeight w:val="71"/>
        </w:trPr>
        <w:tc>
          <w:tcPr>
            <w:tcW w:w="1559" w:type="dxa"/>
            <w:shd w:val="clear" w:color="auto" w:fill="FFFFFF"/>
          </w:tcPr>
          <w:p w14:paraId="40C55306" w14:textId="22F0579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{0150;0010}</w:t>
            </w:r>
          </w:p>
        </w:tc>
        <w:tc>
          <w:tcPr>
            <w:tcW w:w="7406" w:type="dxa"/>
            <w:shd w:val="clear" w:color="auto" w:fill="FFFFFF"/>
          </w:tcPr>
          <w:p w14:paraId="6E882A95" w14:textId="42A5BAA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Delstatliga eller lokala självstyrelseorgan och myndigheter som inte behandlas som nationella regeringar – bruttosoliditetsgradens exponeringsvärde – exponeringar enligt schablonmetoden</w:t>
            </w:r>
          </w:p>
          <w:p w14:paraId="5997608A" w14:textId="0BF65BF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Bruttosoliditetsgradens exponeringsvärde av tillgångar som utgör exponeringar enligt schablonmetoden mot delstatliga eller lokala självstyrelseorgan och myndigheter som inte behandlas som nationella regeringar i enlighet med artikel 115.1, 115.3 och 115.5 i förordning (EU) nr 575/2013</w:t>
            </w:r>
          </w:p>
          <w:p w14:paraId="2E409DCC" w14:textId="6CDA3B78"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Institut ska rapportera detta minus fallerade exponeringar enligt schablonmetoden.</w:t>
            </w:r>
          </w:p>
        </w:tc>
      </w:tr>
      <w:tr w:rsidR="002A54FF" w:rsidRPr="00E75BB8" w14:paraId="1422BA43" w14:textId="77777777" w:rsidTr="000B66BC">
        <w:trPr>
          <w:trHeight w:val="71"/>
        </w:trPr>
        <w:tc>
          <w:tcPr>
            <w:tcW w:w="1559" w:type="dxa"/>
            <w:shd w:val="clear" w:color="auto" w:fill="FFFFFF"/>
          </w:tcPr>
          <w:p w14:paraId="119A75AE" w14:textId="3BC5962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{0150;0020}</w:t>
            </w:r>
          </w:p>
        </w:tc>
        <w:tc>
          <w:tcPr>
            <w:tcW w:w="7406" w:type="dxa"/>
            <w:shd w:val="clear" w:color="auto" w:fill="FFFFFF"/>
          </w:tcPr>
          <w:p w14:paraId="6DA1492F" w14:textId="7777777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Delstatliga eller lokala självstyrelseorgan och myndigheter som inte behandlas som nationella regeringar – bruttosoliditetsgradens exponeringsvärde – exponeringar enligt internmetod</w:t>
            </w:r>
          </w:p>
          <w:p w14:paraId="05330C07" w14:textId="0532F617"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Bruttosoliditetsgradens exponeringsvärde av tillgångar som utgör exponeringar enligt internmetoden mot delstatliga eller lokala självstyrelseorgan och myndigheter som inte behandlas som nationella regeringar och som omfattas av artikel 147.4 a i förordning (EU) nr 575/2013</w:t>
            </w:r>
          </w:p>
          <w:p w14:paraId="64866D79" w14:textId="278A91F6" w:rsidR="00F4754B" w:rsidRPr="000B66BC" w:rsidDel="00F559E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Institut ska rapportera detta minus fallerade exponeringar enligt internmetoden. </w:t>
            </w:r>
          </w:p>
        </w:tc>
      </w:tr>
      <w:tr w:rsidR="002A54FF" w:rsidRPr="00E75BB8" w14:paraId="49B34BA3" w14:textId="77777777" w:rsidTr="000B66BC">
        <w:trPr>
          <w:trHeight w:val="71"/>
        </w:trPr>
        <w:tc>
          <w:tcPr>
            <w:tcW w:w="1559" w:type="dxa"/>
            <w:shd w:val="clear" w:color="auto" w:fill="FFFFFF"/>
          </w:tcPr>
          <w:p w14:paraId="1350671F" w14:textId="6CF3F1D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{0150;0030}</w:t>
            </w:r>
          </w:p>
        </w:tc>
        <w:tc>
          <w:tcPr>
            <w:tcW w:w="7406" w:type="dxa"/>
            <w:shd w:val="clear" w:color="auto" w:fill="FFFFFF"/>
          </w:tcPr>
          <w:p w14:paraId="0E90CE61" w14:textId="6590FBE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Delstatliga eller lokala självstyrelseorgan och myndigheter som inte behandlas som nationella regeringar – riskvägt exponeringsbelopp – exponeringar enligt schablonmetoden </w:t>
            </w:r>
          </w:p>
          <w:p w14:paraId="0C1281BF" w14:textId="0F177E4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Riskvägt exponeringsbelopp för tillgångar som utgör exponeringar enligt schablonmetoden mot delstatliga eller lokala självstyrelseorgan och myndigheter som inte behandlas som nationella regeringar i enlighet med artikel 115.1, 115.3 och 115.5 i förordning (EU) nr 575/2013</w:t>
            </w:r>
          </w:p>
          <w:p w14:paraId="594F13B1" w14:textId="615E628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schablonmetoden.</w:t>
            </w:r>
          </w:p>
        </w:tc>
      </w:tr>
      <w:tr w:rsidR="002A54FF" w:rsidRPr="00E75BB8" w14:paraId="218100D8" w14:textId="77777777" w:rsidTr="000B66BC">
        <w:trPr>
          <w:trHeight w:val="71"/>
        </w:trPr>
        <w:tc>
          <w:tcPr>
            <w:tcW w:w="1559" w:type="dxa"/>
            <w:shd w:val="clear" w:color="auto" w:fill="FFFFFF"/>
          </w:tcPr>
          <w:p w14:paraId="7E6979FD" w14:textId="4EA4998C"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{0150;0040}</w:t>
            </w:r>
          </w:p>
        </w:tc>
        <w:tc>
          <w:tcPr>
            <w:tcW w:w="7406" w:type="dxa"/>
            <w:shd w:val="clear" w:color="auto" w:fill="FFFFFF"/>
          </w:tcPr>
          <w:p w14:paraId="2F79CD95" w14:textId="1BA3728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Delstatliga eller lokala självstyrelseorgan och myndigheter som inte behandlas som nationella regeringar – riskvägt exponeringsbelopp – exponeringar enligt internmetod</w:t>
            </w:r>
          </w:p>
          <w:p w14:paraId="51863919" w14:textId="13549DA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Riskvägt exponeringsbelopp för tillgångar som utgör exponeringar enligt internmetoden mot delstatliga eller lokala självstyrelseorgan och myndigheter som inte behandlas som nationella regeringar och som omfattas av artikel 147.4 a i förordning (EU) nr 575/2013</w:t>
            </w:r>
          </w:p>
          <w:p w14:paraId="2CE67E1E" w14:textId="02F8044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internmetoden.</w:t>
            </w:r>
          </w:p>
        </w:tc>
      </w:tr>
      <w:tr w:rsidR="002A54FF" w:rsidRPr="00E75BB8" w14:paraId="237E8E2D" w14:textId="77777777" w:rsidTr="000B66BC">
        <w:trPr>
          <w:trHeight w:val="71"/>
        </w:trPr>
        <w:tc>
          <w:tcPr>
            <w:tcW w:w="1559" w:type="dxa"/>
            <w:shd w:val="clear" w:color="auto" w:fill="FFFFFF"/>
          </w:tcPr>
          <w:p w14:paraId="6D0A1DEE" w14:textId="580C324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{0160;0010}</w:t>
            </w:r>
          </w:p>
        </w:tc>
        <w:tc>
          <w:tcPr>
            <w:tcW w:w="7406" w:type="dxa"/>
            <w:shd w:val="clear" w:color="auto" w:fill="FFFFFF"/>
          </w:tcPr>
          <w:p w14:paraId="382B2DE5"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Multilaterala utvecklingsbanker som </w:t>
            </w:r>
            <w:r>
              <w:rPr>
                <w:rFonts w:ascii="Times New Roman" w:hAnsi="Times New Roman"/>
                <w:b/>
                <w:sz w:val="24"/>
                <w:u w:val="single"/>
              </w:rPr>
              <w:t>inte</w:t>
            </w:r>
            <w:r>
              <w:rPr>
                <w:rFonts w:ascii="Times New Roman" w:hAnsi="Times New Roman"/>
                <w:b/>
                <w:sz w:val="24"/>
              </w:rPr>
              <w:t xml:space="preserve"> behandlas som nationella regeringar – bruttosoliditetsgradens exponeringsvärde – exponeringar enligt schablonmetoden</w:t>
            </w:r>
          </w:p>
          <w:p w14:paraId="07928584" w14:textId="302FB43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Bruttosoliditetsgradens exponeringsvärde av tillgångar som utgör exponeringar enligt schablonmetoden mot multilaterala utvecklingsbanker som omfattas av artikel 117.1 och 117.3 i förordning (EU) nr 575/2013</w:t>
            </w:r>
          </w:p>
          <w:p w14:paraId="01E4041D" w14:textId="00B0727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Institut ska rapportera detta minus fallerade exponeringar enligt schablonmetoden.</w:t>
            </w:r>
          </w:p>
        </w:tc>
      </w:tr>
      <w:tr w:rsidR="002A54FF" w:rsidRPr="00E75BB8" w14:paraId="62B19F9C" w14:textId="77777777" w:rsidTr="000B66BC">
        <w:trPr>
          <w:trHeight w:val="71"/>
        </w:trPr>
        <w:tc>
          <w:tcPr>
            <w:tcW w:w="1559" w:type="dxa"/>
            <w:shd w:val="clear" w:color="auto" w:fill="FFFFFF"/>
          </w:tcPr>
          <w:p w14:paraId="49210C52" w14:textId="06EBFC79"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{0160;0020}</w:t>
            </w:r>
          </w:p>
        </w:tc>
        <w:tc>
          <w:tcPr>
            <w:tcW w:w="7406" w:type="dxa"/>
            <w:shd w:val="clear" w:color="auto" w:fill="FFFFFF"/>
          </w:tcPr>
          <w:p w14:paraId="13E28A92"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Multilaterala utvecklingsbanker som inte behandlas som nationella regeringar – bruttosoliditetsgradens exponeringsvärde – exponeringar enligt internmetod</w:t>
            </w:r>
          </w:p>
          <w:p w14:paraId="6D2C0352" w14:textId="312107C2"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Bruttosoliditetsgradens exponeringsvärde av tillgångar som utgör exponeringar enligt internmetoden mot multilaterala utvecklingsbanker som inte behandlas som nationella regeringar och som omfattas av artikel </w:t>
            </w:r>
            <w:proofErr w:type="gramStart"/>
            <w:r>
              <w:rPr>
                <w:rFonts w:ascii="Times New Roman" w:hAnsi="Times New Roman"/>
                <w:sz w:val="24"/>
              </w:rPr>
              <w:t>147.4</w:t>
            </w:r>
            <w:proofErr w:type="gramEnd"/>
            <w:r>
              <w:rPr>
                <w:rFonts w:ascii="Times New Roman" w:hAnsi="Times New Roman"/>
                <w:sz w:val="24"/>
              </w:rPr>
              <w:t xml:space="preserve"> c i förordning (EU) nr 575/2013</w:t>
            </w:r>
          </w:p>
          <w:p w14:paraId="74CFCB27" w14:textId="063441C0" w:rsidR="009C4E79" w:rsidRPr="000B66BC" w:rsidDel="009A4B38"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internmetoden.</w:t>
            </w:r>
          </w:p>
        </w:tc>
      </w:tr>
      <w:tr w:rsidR="002A54FF" w:rsidRPr="00E75BB8" w14:paraId="3B7489DB" w14:textId="77777777" w:rsidTr="000B66BC">
        <w:trPr>
          <w:trHeight w:val="71"/>
        </w:trPr>
        <w:tc>
          <w:tcPr>
            <w:tcW w:w="1559" w:type="dxa"/>
            <w:shd w:val="clear" w:color="auto" w:fill="FFFFFF"/>
          </w:tcPr>
          <w:p w14:paraId="53451B08" w14:textId="0717E11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{0160;0030}</w:t>
            </w:r>
          </w:p>
        </w:tc>
        <w:tc>
          <w:tcPr>
            <w:tcW w:w="7406" w:type="dxa"/>
            <w:shd w:val="clear" w:color="auto" w:fill="FFFFFF"/>
          </w:tcPr>
          <w:p w14:paraId="1D2AE94F" w14:textId="3A23504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Multilaterala utvecklingsbanker som inte behandlas som nationella regeringar – riskvägt exponeringsbelopp – exponeringar enligt schablonmetoden</w:t>
            </w:r>
          </w:p>
          <w:p w14:paraId="4B127308" w14:textId="5B33614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Riskvägt exponeringsbelopp för tillgångar som utgör exponeringar enligt schablonmetoden mot multilaterala utvecklingsbanker som omfattas av artikel 117.1 och 117.3 i förordning (EU) nr 575/2013</w:t>
            </w:r>
          </w:p>
          <w:p w14:paraId="6288F6E5" w14:textId="481F4915"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schablonmetoden.</w:t>
            </w:r>
          </w:p>
        </w:tc>
      </w:tr>
      <w:tr w:rsidR="002A54FF" w:rsidRPr="00E75BB8" w14:paraId="44D6EB6F" w14:textId="77777777" w:rsidTr="000B66BC">
        <w:trPr>
          <w:trHeight w:val="71"/>
        </w:trPr>
        <w:tc>
          <w:tcPr>
            <w:tcW w:w="1559" w:type="dxa"/>
            <w:shd w:val="clear" w:color="auto" w:fill="FFFFFF"/>
          </w:tcPr>
          <w:p w14:paraId="00D96829" w14:textId="555FD61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{0160;0040}</w:t>
            </w:r>
          </w:p>
        </w:tc>
        <w:tc>
          <w:tcPr>
            <w:tcW w:w="7406" w:type="dxa"/>
            <w:shd w:val="clear" w:color="auto" w:fill="FFFFFF"/>
          </w:tcPr>
          <w:p w14:paraId="00619AFE" w14:textId="73438BF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Multilaterala utvecklingsbanker som inte behandlas som nationella regeringar – riskvägt exponeringsbelopp – exponeringar enligt internmetod</w:t>
            </w:r>
          </w:p>
          <w:p w14:paraId="466ECD88" w14:textId="5D28161E"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Riskvägt exponeringsbelopp för tillgångar som utgör exponeringar enligt internmetoden mot multilaterala utvecklingsbanker som inte behandlas som nationella regeringar och som omfattas av artikel </w:t>
            </w:r>
            <w:proofErr w:type="gramStart"/>
            <w:r>
              <w:rPr>
                <w:rFonts w:ascii="Times New Roman" w:hAnsi="Times New Roman"/>
                <w:sz w:val="24"/>
              </w:rPr>
              <w:t>147.4</w:t>
            </w:r>
            <w:proofErr w:type="gramEnd"/>
            <w:r>
              <w:rPr>
                <w:rFonts w:ascii="Times New Roman" w:hAnsi="Times New Roman"/>
                <w:sz w:val="24"/>
              </w:rPr>
              <w:t xml:space="preserve"> c i förordning (EU) nr 575/2013</w:t>
            </w:r>
          </w:p>
          <w:p w14:paraId="72DDDF92" w14:textId="6FAD844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internmetoden.</w:t>
            </w:r>
          </w:p>
        </w:tc>
      </w:tr>
      <w:tr w:rsidR="002A54FF" w:rsidRPr="00E75BB8" w14:paraId="533E38AC" w14:textId="77777777" w:rsidTr="000B66BC">
        <w:trPr>
          <w:trHeight w:val="71"/>
        </w:trPr>
        <w:tc>
          <w:tcPr>
            <w:tcW w:w="1559" w:type="dxa"/>
            <w:shd w:val="clear" w:color="auto" w:fill="FFFFFF"/>
          </w:tcPr>
          <w:p w14:paraId="0412E3DC" w14:textId="71F1E57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{0170;0010}</w:t>
            </w:r>
          </w:p>
        </w:tc>
        <w:tc>
          <w:tcPr>
            <w:tcW w:w="7406" w:type="dxa"/>
            <w:shd w:val="clear" w:color="auto" w:fill="FFFFFF"/>
          </w:tcPr>
          <w:p w14:paraId="63BC1CE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Offentliga organ som inte behandlas som nationella regeringar – bruttosoliditetsgradens exponeringsvärde – exponeringar enligt schablonmetoden</w:t>
            </w:r>
          </w:p>
          <w:p w14:paraId="3FF6AAF1" w14:textId="65E56C9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Bruttosoliditetsgradens exponeringsvärde av tillgångar som utgör exponeringar enligt schablonmetoden mot offentliga organ som omfattas av artikel 116.1, 116.2, 116.3 och 116.5 i förordning (EU) nr 575/2013</w:t>
            </w:r>
          </w:p>
          <w:p w14:paraId="7DF5A169" w14:textId="79FB274E" w:rsidR="000A486B" w:rsidRPr="000B66BC" w:rsidRDefault="00086A8A" w:rsidP="000B66BC">
            <w:pPr>
              <w:pStyle w:val="BodyText1"/>
              <w:spacing w:after="240" w:line="240" w:lineRule="auto"/>
              <w:rPr>
                <w:rFonts w:ascii="Times New Roman" w:hAnsi="Times New Roman"/>
                <w:sz w:val="24"/>
                <w:szCs w:val="24"/>
              </w:rPr>
            </w:pPr>
            <w:r>
              <w:rPr>
                <w:rFonts w:ascii="Times New Roman" w:hAnsi="Times New Roman"/>
                <w:sz w:val="24"/>
              </w:rPr>
              <w:t>Institut ska rapportera detta minus fallerade exponeringar enligt schablonmetoden.</w:t>
            </w:r>
          </w:p>
        </w:tc>
      </w:tr>
      <w:tr w:rsidR="002A54FF" w:rsidRPr="00E75BB8" w14:paraId="3A5C3310" w14:textId="77777777" w:rsidTr="000B66BC">
        <w:trPr>
          <w:trHeight w:val="71"/>
        </w:trPr>
        <w:tc>
          <w:tcPr>
            <w:tcW w:w="1559" w:type="dxa"/>
            <w:shd w:val="clear" w:color="auto" w:fill="FFFFFF"/>
          </w:tcPr>
          <w:p w14:paraId="1510FE52" w14:textId="0733B660"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{0170;0020}</w:t>
            </w:r>
          </w:p>
        </w:tc>
        <w:tc>
          <w:tcPr>
            <w:tcW w:w="7406" w:type="dxa"/>
            <w:shd w:val="clear" w:color="auto" w:fill="FFFFFF"/>
          </w:tcPr>
          <w:p w14:paraId="426AE44C" w14:textId="331FC92F"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Offentliga organ som inte behandlas som nationella regeringar – bruttosoliditetsgradens exponeringsvärde – exponeringar enligt internmetod</w:t>
            </w:r>
          </w:p>
          <w:p w14:paraId="19C4FD72" w14:textId="2D84BC9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Bruttosoliditetsgradens exponeringsvärde av tillgångar som utgör exponeringar enligt internmetoden mot offentliga organ som inte behandlas som nationella regeringar och som omfattas av artikel 147.4 b i förordning (EU) nr 575/2013</w:t>
            </w:r>
          </w:p>
          <w:p w14:paraId="21D9C4B6" w14:textId="738536C0" w:rsidR="009C4E79" w:rsidRPr="000B66BC" w:rsidDel="00973F19"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internmetoden.</w:t>
            </w:r>
          </w:p>
        </w:tc>
      </w:tr>
      <w:tr w:rsidR="002A54FF" w:rsidRPr="00E75BB8" w14:paraId="1BE427F7" w14:textId="77777777" w:rsidTr="000B66BC">
        <w:trPr>
          <w:trHeight w:val="71"/>
        </w:trPr>
        <w:tc>
          <w:tcPr>
            <w:tcW w:w="1559" w:type="dxa"/>
            <w:shd w:val="clear" w:color="auto" w:fill="FFFFFF"/>
          </w:tcPr>
          <w:p w14:paraId="7E1FC872" w14:textId="1CF85BB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{0170;0030}</w:t>
            </w:r>
          </w:p>
        </w:tc>
        <w:tc>
          <w:tcPr>
            <w:tcW w:w="7406" w:type="dxa"/>
            <w:shd w:val="clear" w:color="auto" w:fill="FFFFFF"/>
          </w:tcPr>
          <w:p w14:paraId="2459C33D" w14:textId="7EE3423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Offentliga organ som inte behandlas som nationella regeringar – riskvägt exponeringsbelopp – exponeringar enligt schablonmetoden</w:t>
            </w:r>
          </w:p>
          <w:p w14:paraId="7ED0D977" w14:textId="5842F85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Riskvägt exponeringsbelopp för tillgångar som utgör exponeringar enligt schablonmetoden mot offentliga organ som omfattas av artikel 116.1, 116.2, 116.3 och 116.5 i förordning (EU) nr 575/2013</w:t>
            </w:r>
          </w:p>
          <w:p w14:paraId="2E4EB0DF" w14:textId="0395937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Institut ska rapportera detta minus fallerade exponeringar enligt schablonmetoden.</w:t>
            </w:r>
          </w:p>
        </w:tc>
      </w:tr>
      <w:tr w:rsidR="002A54FF" w:rsidRPr="00E75BB8" w14:paraId="6C878C4C" w14:textId="77777777" w:rsidTr="000B66BC">
        <w:trPr>
          <w:trHeight w:val="71"/>
        </w:trPr>
        <w:tc>
          <w:tcPr>
            <w:tcW w:w="1559" w:type="dxa"/>
            <w:shd w:val="clear" w:color="auto" w:fill="FFFFFF"/>
          </w:tcPr>
          <w:p w14:paraId="1ADDF71D" w14:textId="4FD509A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{0170;0040}</w:t>
            </w:r>
          </w:p>
        </w:tc>
        <w:tc>
          <w:tcPr>
            <w:tcW w:w="7406" w:type="dxa"/>
            <w:shd w:val="clear" w:color="auto" w:fill="FFFFFF"/>
          </w:tcPr>
          <w:p w14:paraId="505DD8D8" w14:textId="3ADF1093"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Offentliga organ som inte behandlas som nationella regeringar – riskvägt exponeringsbelopp – exponeringar enligt internmetod</w:t>
            </w:r>
          </w:p>
          <w:p w14:paraId="3B167735" w14:textId="1C3E108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Riskvägt exponeringsbelopp för tillgångar som utgör exponeringar enligt internmetoden mot offentliga organ som inte behandlas som nationella regeringar och som omfattas av artikel 147.4 b i förordning (EU) nr 575/2013</w:t>
            </w:r>
          </w:p>
          <w:p w14:paraId="786F9A83" w14:textId="4738A29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internmetoden.</w:t>
            </w:r>
          </w:p>
        </w:tc>
      </w:tr>
      <w:tr w:rsidR="002A54FF" w:rsidRPr="00E75BB8" w14:paraId="4C6FA863" w14:textId="77777777" w:rsidTr="000B66BC">
        <w:trPr>
          <w:trHeight w:val="71"/>
        </w:trPr>
        <w:tc>
          <w:tcPr>
            <w:tcW w:w="1559" w:type="dxa"/>
            <w:shd w:val="clear" w:color="auto" w:fill="FFFFFF"/>
          </w:tcPr>
          <w:p w14:paraId="271E316D" w14:textId="22F0A69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{0180;0010}</w:t>
            </w:r>
          </w:p>
        </w:tc>
        <w:tc>
          <w:tcPr>
            <w:tcW w:w="7406" w:type="dxa"/>
            <w:shd w:val="clear" w:color="auto" w:fill="FFFFFF"/>
          </w:tcPr>
          <w:p w14:paraId="4C5AF924"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Institut – bruttosoliditetsgradens exponeringsvärde – exponeringar enligt schablonmetoden</w:t>
            </w:r>
          </w:p>
          <w:p w14:paraId="285DE0DE" w14:textId="140BD1C0"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Bruttosoliditetsgradens exponeringsvärde av tillgångar som utgör exponeringar enligt schablonmetoden mot institut som omfattas av artiklarna 119–121 i förordning (EU) nr 575/2013</w:t>
            </w:r>
          </w:p>
          <w:p w14:paraId="718668CE" w14:textId="4B228AF6"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Institut ska rapportera detta minus fallerade exponeringar enligt schablonmetoden.</w:t>
            </w:r>
          </w:p>
        </w:tc>
      </w:tr>
      <w:tr w:rsidR="002A54FF" w:rsidRPr="00E75BB8" w14:paraId="7F4516FE" w14:textId="77777777" w:rsidTr="000B66BC">
        <w:trPr>
          <w:trHeight w:val="71"/>
        </w:trPr>
        <w:tc>
          <w:tcPr>
            <w:tcW w:w="1559" w:type="dxa"/>
            <w:shd w:val="clear" w:color="auto" w:fill="FFFFFF"/>
          </w:tcPr>
          <w:p w14:paraId="729BBA0D" w14:textId="3387B1D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{0180;0020}</w:t>
            </w:r>
          </w:p>
        </w:tc>
        <w:tc>
          <w:tcPr>
            <w:tcW w:w="7406" w:type="dxa"/>
            <w:shd w:val="clear" w:color="auto" w:fill="FFFFFF"/>
          </w:tcPr>
          <w:p w14:paraId="5B3D67A0"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Institut – bruttosoliditetsgradens exponeringsvärde – exponeringar enligt internmetod</w:t>
            </w:r>
          </w:p>
          <w:p w14:paraId="50027CF2" w14:textId="5920E641"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Bruttosoliditetsgradens exponeringsvärde av tillgångar som utgör exponeringar enligt internmetoden mot institut som omfattas av artikel 147.2 b i förordning (EU) nr 575/2013 och som inte utgör exponeringar i form av säkerställda obligationer enligt artikel 161.1 d i förordning (EU) nr 575/2013 och som inte omfattas av artikel </w:t>
            </w:r>
            <w:proofErr w:type="gramStart"/>
            <w:r>
              <w:rPr>
                <w:rFonts w:ascii="Times New Roman" w:hAnsi="Times New Roman"/>
                <w:sz w:val="24"/>
              </w:rPr>
              <w:t>147.4</w:t>
            </w:r>
            <w:proofErr w:type="gramEnd"/>
            <w:r>
              <w:rPr>
                <w:rFonts w:ascii="Times New Roman" w:hAnsi="Times New Roman"/>
                <w:sz w:val="24"/>
              </w:rPr>
              <w:t> c i förordning (EU) nr 575/2013</w:t>
            </w:r>
          </w:p>
          <w:p w14:paraId="74D3DFFE" w14:textId="50B07F0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internmetoden.</w:t>
            </w:r>
          </w:p>
        </w:tc>
      </w:tr>
      <w:tr w:rsidR="002A54FF" w:rsidRPr="00E75BB8" w14:paraId="63DBCD42" w14:textId="77777777" w:rsidTr="000B66BC">
        <w:trPr>
          <w:trHeight w:val="71"/>
        </w:trPr>
        <w:tc>
          <w:tcPr>
            <w:tcW w:w="1559" w:type="dxa"/>
            <w:shd w:val="clear" w:color="auto" w:fill="FFFFFF"/>
          </w:tcPr>
          <w:p w14:paraId="18901B11" w14:textId="0DF0567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{0180;0030}</w:t>
            </w:r>
          </w:p>
        </w:tc>
        <w:tc>
          <w:tcPr>
            <w:tcW w:w="7406" w:type="dxa"/>
            <w:shd w:val="clear" w:color="auto" w:fill="FFFFFF"/>
          </w:tcPr>
          <w:p w14:paraId="6B6B1A57" w14:textId="58330F9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Institut – riskvägt exponeringsbelopp – exponeringar enligt schablonmetoden</w:t>
            </w:r>
          </w:p>
          <w:p w14:paraId="7CE29C3B" w14:textId="5E2E21C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Riskvägt exponeringsbelopp för tillgångar som utgör exponeringar enligt schablonmetoden mot institut som omfattas av artiklarna 119–121 i förordning (EU) nr 575/2013</w:t>
            </w:r>
          </w:p>
          <w:p w14:paraId="6FA68F7E" w14:textId="7949A67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schablonmetoden.</w:t>
            </w:r>
          </w:p>
        </w:tc>
      </w:tr>
      <w:tr w:rsidR="002A54FF" w:rsidRPr="00E75BB8" w14:paraId="1EFD30DA" w14:textId="77777777" w:rsidTr="000B66BC">
        <w:trPr>
          <w:trHeight w:val="71"/>
        </w:trPr>
        <w:tc>
          <w:tcPr>
            <w:tcW w:w="1559" w:type="dxa"/>
            <w:shd w:val="clear" w:color="auto" w:fill="FFFFFF"/>
          </w:tcPr>
          <w:p w14:paraId="025E39D1" w14:textId="03E4A4D2"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{0180;0040}</w:t>
            </w:r>
          </w:p>
        </w:tc>
        <w:tc>
          <w:tcPr>
            <w:tcW w:w="7406" w:type="dxa"/>
            <w:shd w:val="clear" w:color="auto" w:fill="FFFFFF"/>
          </w:tcPr>
          <w:p w14:paraId="73DCBC6C" w14:textId="7593C5D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Institut – riskvägt exponeringsbelopp – exponeringar enligt internmetod</w:t>
            </w:r>
          </w:p>
          <w:p w14:paraId="5E814575" w14:textId="18C9556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 xml:space="preserve">Riskvägt exponeringsbelopp för tillgångar som utgör exponeringar enligt internmetoden mot institut som omfattas av artikel 147.2 b i förordning (EU) nr 575/2013 och som inte utgör exponeringar i form av säkerställda obligationer enligt artikel 161.1 d i förordning (EU) nr 575/2013 och som inte omfattas av artikel </w:t>
            </w:r>
            <w:proofErr w:type="gramStart"/>
            <w:r>
              <w:rPr>
                <w:rFonts w:ascii="Times New Roman" w:hAnsi="Times New Roman"/>
                <w:sz w:val="24"/>
              </w:rPr>
              <w:t>147.4</w:t>
            </w:r>
            <w:proofErr w:type="gramEnd"/>
            <w:r>
              <w:rPr>
                <w:rFonts w:ascii="Times New Roman" w:hAnsi="Times New Roman"/>
                <w:sz w:val="24"/>
              </w:rPr>
              <w:t> c i förordning (EU) nr 575/2013</w:t>
            </w:r>
          </w:p>
          <w:p w14:paraId="1830B0D9" w14:textId="127A973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internmetoden.</w:t>
            </w:r>
          </w:p>
        </w:tc>
      </w:tr>
      <w:tr w:rsidR="002A54FF" w:rsidRPr="00E75BB8" w14:paraId="3B7F5DF8" w14:textId="77777777" w:rsidTr="000B66BC">
        <w:trPr>
          <w:trHeight w:val="71"/>
        </w:trPr>
        <w:tc>
          <w:tcPr>
            <w:tcW w:w="1559" w:type="dxa"/>
            <w:shd w:val="clear" w:color="auto" w:fill="FFFFFF"/>
          </w:tcPr>
          <w:p w14:paraId="7247E1A0" w14:textId="091D4A6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{0190;0010}</w:t>
            </w:r>
          </w:p>
        </w:tc>
        <w:tc>
          <w:tcPr>
            <w:tcW w:w="7406" w:type="dxa"/>
            <w:shd w:val="clear" w:color="auto" w:fill="FFFFFF"/>
          </w:tcPr>
          <w:p w14:paraId="1DB57456" w14:textId="01AD74E9"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Säkrade genom panträtt i fast egendom och ADC-exponeringar – bruttosoliditetsgradens exponeringsvärde – exponeringar enligt schablonmetoden</w:t>
            </w:r>
          </w:p>
          <w:p w14:paraId="17D67F5E" w14:textId="7EDDE2D9"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Bruttosoliditetsgradens exponeringsvärde av tillgångar som utgör exponeringar enligt schablonmetoden säkrade genom panträtt i fast egendom och ADC-exponeringar som omfattas av artiklarna 124 och 126a i förordning (EU) nr 575/2013</w:t>
            </w:r>
          </w:p>
          <w:p w14:paraId="4640B57D" w14:textId="7B28B7DF" w:rsidR="000A486B"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schablonmetoden.</w:t>
            </w:r>
          </w:p>
        </w:tc>
      </w:tr>
      <w:tr w:rsidR="002A54FF" w:rsidRPr="00E75BB8" w14:paraId="56FBD004" w14:textId="77777777" w:rsidTr="000B66BC">
        <w:trPr>
          <w:trHeight w:val="71"/>
        </w:trPr>
        <w:tc>
          <w:tcPr>
            <w:tcW w:w="1559" w:type="dxa"/>
            <w:shd w:val="clear" w:color="auto" w:fill="FFFFFF"/>
          </w:tcPr>
          <w:p w14:paraId="2044B99B" w14:textId="7BA570D9"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{0190;0020}</w:t>
            </w:r>
          </w:p>
        </w:tc>
        <w:tc>
          <w:tcPr>
            <w:tcW w:w="7406" w:type="dxa"/>
            <w:shd w:val="clear" w:color="auto" w:fill="FFFFFF"/>
          </w:tcPr>
          <w:p w14:paraId="65802FBC" w14:textId="3578B74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Säkrade genom panträtt i fast egendom och ADC-exponeringar – bruttosoliditetsgradens exponeringsvärde – exponeringar enligt internmetod</w:t>
            </w:r>
          </w:p>
          <w:p w14:paraId="61A2701B" w14:textId="449442F8" w:rsidR="001E1518"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Bruttosoliditetsgradens exponeringsvärde av tillgångar som utgör exponeringar enligt internmetoden mot företag enligt artikel </w:t>
            </w:r>
            <w:proofErr w:type="gramStart"/>
            <w:r>
              <w:rPr>
                <w:rFonts w:ascii="Times New Roman" w:hAnsi="Times New Roman"/>
                <w:sz w:val="24"/>
              </w:rPr>
              <w:t>147.2</w:t>
            </w:r>
            <w:proofErr w:type="gramEnd"/>
            <w:r>
              <w:rPr>
                <w:rFonts w:ascii="Times New Roman" w:hAnsi="Times New Roman"/>
                <w:sz w:val="24"/>
              </w:rPr>
              <w:t xml:space="preserve"> c eller exponeringar mot hushåll enligt artikel 147.2 d ii i förordning (EU) nr 575/2013, om exponeringarna är säkrade genom panträtt i fast egendom och ADC-exponeringar i enlighet med artikel 199.1 a i förordning (EU) nr 575/2013</w:t>
            </w:r>
          </w:p>
          <w:p w14:paraId="1A4EAAD1" w14:textId="25F5CC11"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Institut ska rapportera detta minus fallerade exponeringar enligt internmetoden.</w:t>
            </w:r>
          </w:p>
        </w:tc>
      </w:tr>
      <w:tr w:rsidR="002A54FF" w:rsidRPr="00E75BB8" w14:paraId="502C4EF4" w14:textId="77777777" w:rsidTr="000B66BC">
        <w:trPr>
          <w:trHeight w:val="71"/>
        </w:trPr>
        <w:tc>
          <w:tcPr>
            <w:tcW w:w="1559" w:type="dxa"/>
            <w:shd w:val="clear" w:color="auto" w:fill="FFFFFF"/>
          </w:tcPr>
          <w:p w14:paraId="15681D38" w14:textId="06E026C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{0190;0030}</w:t>
            </w:r>
          </w:p>
        </w:tc>
        <w:tc>
          <w:tcPr>
            <w:tcW w:w="7406" w:type="dxa"/>
            <w:shd w:val="clear" w:color="auto" w:fill="FFFFFF"/>
          </w:tcPr>
          <w:p w14:paraId="660D9FEE" w14:textId="6E11FD1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Säkrade genom panträtt i fast egendom och ADC-exponeringar – riskvägt exponeringsbelopp – exponeringar enligt schablonmetoden</w:t>
            </w:r>
          </w:p>
          <w:p w14:paraId="7FD54199" w14:textId="06D9ED8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Riskvägt exponeringsbelopp för tillgångar som utgör exponeringar enligt schablonmetoden säkrade genom panträtt i fast egendom och ADC-exponeringar som omfattas av artiklarna 124 och 126a i förordning (EU) nr 575/2013</w:t>
            </w:r>
          </w:p>
          <w:p w14:paraId="19AB0004" w14:textId="5017684F"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schablonmetoden.</w:t>
            </w:r>
          </w:p>
        </w:tc>
      </w:tr>
      <w:tr w:rsidR="002A54FF" w:rsidRPr="00E75BB8" w14:paraId="523C1CD0" w14:textId="77777777" w:rsidTr="000B66BC">
        <w:trPr>
          <w:trHeight w:val="71"/>
        </w:trPr>
        <w:tc>
          <w:tcPr>
            <w:tcW w:w="1559" w:type="dxa"/>
            <w:shd w:val="clear" w:color="auto" w:fill="FFFFFF"/>
          </w:tcPr>
          <w:p w14:paraId="4EDDB4A4" w14:textId="1F5C8592"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{0190;0040}</w:t>
            </w:r>
          </w:p>
        </w:tc>
        <w:tc>
          <w:tcPr>
            <w:tcW w:w="7406" w:type="dxa"/>
            <w:shd w:val="clear" w:color="auto" w:fill="FFFFFF"/>
          </w:tcPr>
          <w:p w14:paraId="2A67D4CA" w14:textId="3E88AF47" w:rsidR="00F4754B" w:rsidRPr="000B66BC" w:rsidRDefault="00F4754B" w:rsidP="000B66BC">
            <w:pPr>
              <w:pStyle w:val="BodyText1"/>
              <w:tabs>
                <w:tab w:val="left" w:pos="6382"/>
              </w:tabs>
              <w:spacing w:after="240" w:line="240" w:lineRule="auto"/>
              <w:rPr>
                <w:rFonts w:ascii="Times New Roman" w:hAnsi="Times New Roman"/>
                <w:b/>
                <w:bCs/>
                <w:sz w:val="24"/>
                <w:szCs w:val="24"/>
              </w:rPr>
            </w:pPr>
            <w:r>
              <w:rPr>
                <w:rFonts w:ascii="Times New Roman" w:hAnsi="Times New Roman"/>
                <w:b/>
                <w:sz w:val="24"/>
              </w:rPr>
              <w:t>Säkrade genom panträtt i fast egendom och ADC-exponeringar – riskvägt exponeringsbelopp – exponeringar enligt internmetod</w:t>
            </w:r>
            <w:r>
              <w:rPr>
                <w:rFonts w:ascii="Times New Roman" w:hAnsi="Times New Roman"/>
                <w:b/>
                <w:sz w:val="24"/>
              </w:rPr>
              <w:tab/>
            </w:r>
          </w:p>
          <w:p w14:paraId="7586DF94" w14:textId="718ACA78"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 xml:space="preserve">Det riskvägda exponeringsbeloppet för tillgångar som utgör exponeringar enligt internmetoden mot företag enligt artikel </w:t>
            </w:r>
            <w:proofErr w:type="gramStart"/>
            <w:r>
              <w:rPr>
                <w:rFonts w:ascii="Times New Roman" w:hAnsi="Times New Roman"/>
                <w:sz w:val="24"/>
              </w:rPr>
              <w:t>147.2</w:t>
            </w:r>
            <w:proofErr w:type="gramEnd"/>
            <w:r>
              <w:rPr>
                <w:rFonts w:ascii="Times New Roman" w:hAnsi="Times New Roman"/>
                <w:sz w:val="24"/>
              </w:rPr>
              <w:t xml:space="preserve"> c eller exponeringar mot hushåll enligt artikel 147.2 d ii i förordning (EU) nr 575/2013, om exponeringarna är säkrade genom panträtt i fast egendom i enlighet med artikel 199.1 a i förordning (EU) nr 575/2013. Instituten ska rapportera detta minus fallerade exponeringar enligt internmetoden.</w:t>
            </w:r>
          </w:p>
        </w:tc>
      </w:tr>
      <w:tr w:rsidR="002A54FF" w:rsidRPr="00E75BB8" w14:paraId="79F6725D" w14:textId="77777777" w:rsidTr="000B66BC">
        <w:trPr>
          <w:trHeight w:val="71"/>
        </w:trPr>
        <w:tc>
          <w:tcPr>
            <w:tcW w:w="1559" w:type="dxa"/>
            <w:shd w:val="clear" w:color="auto" w:fill="FFFFFF"/>
          </w:tcPr>
          <w:p w14:paraId="672A2EB4" w14:textId="70F516D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{0200;0010}</w:t>
            </w:r>
          </w:p>
        </w:tc>
        <w:tc>
          <w:tcPr>
            <w:tcW w:w="7406" w:type="dxa"/>
            <w:shd w:val="clear" w:color="auto" w:fill="FFFFFF"/>
          </w:tcPr>
          <w:p w14:paraId="584E92BF"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varav: Exponeringar säkrade genom panträtt i bostadsfastighet – bruttosoliditetsgradens exponeringsvärde – exponeringar enligt schablonmetoden</w:t>
            </w:r>
          </w:p>
          <w:p w14:paraId="6D68CB80" w14:textId="74864D02"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Bruttosoliditetsgradens exponeringsvärde av tillgångar som utgör exponeringar enligt schablonmetoden som är fullt ut säkrade genom panträtt i bostadsfastighet som omfattas av artikel 125 i förordning (EU) nr 575/2013</w:t>
            </w:r>
          </w:p>
          <w:p w14:paraId="76AD85E4" w14:textId="268C492C"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Institut ska rapportera detta minus fallerade exponeringar enligt schablonmetoden.</w:t>
            </w:r>
          </w:p>
        </w:tc>
      </w:tr>
      <w:tr w:rsidR="002A54FF" w:rsidRPr="00E75BB8" w14:paraId="29B94991" w14:textId="77777777" w:rsidTr="000B66BC">
        <w:trPr>
          <w:trHeight w:val="71"/>
        </w:trPr>
        <w:tc>
          <w:tcPr>
            <w:tcW w:w="1559" w:type="dxa"/>
            <w:shd w:val="clear" w:color="auto" w:fill="FFFFFF"/>
          </w:tcPr>
          <w:p w14:paraId="7E8E4168" w14:textId="098FD087"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{0200;0020}</w:t>
            </w:r>
          </w:p>
        </w:tc>
        <w:tc>
          <w:tcPr>
            <w:tcW w:w="7406" w:type="dxa"/>
            <w:shd w:val="clear" w:color="auto" w:fill="FFFFFF"/>
          </w:tcPr>
          <w:p w14:paraId="32703B14"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sz w:val="24"/>
              </w:rPr>
              <w:t>varav: Exponeringar säkrade genom panträtt i bostadsfastighet – bruttosoliditetsgradens exponeringsvärde – exponeringar enligt internmetod</w:t>
            </w:r>
          </w:p>
          <w:p w14:paraId="225F5A50" w14:textId="002E067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Bruttosoliditetsgradens exponeringsvärde av tillgångar som utgör exponeringar enligt internmetoden mot företag enligt artikel </w:t>
            </w:r>
            <w:proofErr w:type="gramStart"/>
            <w:r>
              <w:rPr>
                <w:rFonts w:ascii="Times New Roman" w:hAnsi="Times New Roman"/>
                <w:sz w:val="24"/>
              </w:rPr>
              <w:t>147.2</w:t>
            </w:r>
            <w:proofErr w:type="gramEnd"/>
            <w:r>
              <w:rPr>
                <w:rFonts w:ascii="Times New Roman" w:hAnsi="Times New Roman"/>
                <w:sz w:val="24"/>
              </w:rPr>
              <w:t xml:space="preserve"> c eller exponeringar mot hushåll enligt artikel 147.2 d ii i förordning (EU) nr 575/2013, om exponeringarna är säkrade genom panträtt i bostadsfastighet i enlighet med artikel 199.1 a i förordning (EU) nr 575/2013</w:t>
            </w:r>
          </w:p>
          <w:p w14:paraId="3F187E7D" w14:textId="2026D8AC" w:rsidR="004B064A" w:rsidRPr="000B66BC" w:rsidDel="003A59D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internmetoden.</w:t>
            </w:r>
          </w:p>
        </w:tc>
      </w:tr>
      <w:tr w:rsidR="002A54FF" w:rsidRPr="00E75BB8" w14:paraId="14374F64" w14:textId="77777777" w:rsidTr="000B66BC">
        <w:trPr>
          <w:trHeight w:val="71"/>
        </w:trPr>
        <w:tc>
          <w:tcPr>
            <w:tcW w:w="1559" w:type="dxa"/>
            <w:shd w:val="clear" w:color="auto" w:fill="FFFFFF"/>
          </w:tcPr>
          <w:p w14:paraId="44481671" w14:textId="4931896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{0200;0030}</w:t>
            </w:r>
          </w:p>
        </w:tc>
        <w:tc>
          <w:tcPr>
            <w:tcW w:w="7406" w:type="dxa"/>
            <w:shd w:val="clear" w:color="auto" w:fill="FFFFFF"/>
          </w:tcPr>
          <w:p w14:paraId="1C91D3EE" w14:textId="0C703C50"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varav: Exponeringar säkrade genom panträtt i bostadsfastighet – riskvägt exponeringsbelopp – exponeringar enligt schablonmetoden</w:t>
            </w:r>
          </w:p>
          <w:p w14:paraId="2432C156" w14:textId="00BB8CEE"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Riskvägt exponeringsbelopp för tillgångar som utgör exponeringar enligt schablonmetoden som är fullt ut säkrade genom panträtt i bostadsfastighet som omfattas av artikel 125 i förordning (EU) nr 575/2013</w:t>
            </w:r>
          </w:p>
          <w:p w14:paraId="26D9FFCE" w14:textId="4577953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schablonmetoden.</w:t>
            </w:r>
          </w:p>
        </w:tc>
      </w:tr>
      <w:tr w:rsidR="002A54FF" w:rsidRPr="00E75BB8" w14:paraId="0D3A4E36" w14:textId="77777777" w:rsidTr="000B66BC">
        <w:trPr>
          <w:trHeight w:val="71"/>
        </w:trPr>
        <w:tc>
          <w:tcPr>
            <w:tcW w:w="1559" w:type="dxa"/>
            <w:shd w:val="clear" w:color="auto" w:fill="FFFFFF"/>
          </w:tcPr>
          <w:p w14:paraId="28ED62BB" w14:textId="034112B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{0200;0040}</w:t>
            </w:r>
          </w:p>
        </w:tc>
        <w:tc>
          <w:tcPr>
            <w:tcW w:w="7406" w:type="dxa"/>
            <w:shd w:val="clear" w:color="auto" w:fill="FFFFFF"/>
          </w:tcPr>
          <w:p w14:paraId="35F16AA3" w14:textId="7277D856"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varav: Exponeringar säkrade genom panträtt i bostadsfastighet – riskvägt exponeringsbelopp – exponeringar enligt internmetod</w:t>
            </w:r>
          </w:p>
          <w:p w14:paraId="17020383" w14:textId="27BD45C5"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Riskvägt exponeringsbelopp för tillgångar som utgör exponeringar enligt internmetoden mot företag enligt artikel </w:t>
            </w:r>
            <w:proofErr w:type="gramStart"/>
            <w:r>
              <w:rPr>
                <w:rFonts w:ascii="Times New Roman" w:hAnsi="Times New Roman"/>
                <w:sz w:val="24"/>
              </w:rPr>
              <w:t>147.2</w:t>
            </w:r>
            <w:proofErr w:type="gramEnd"/>
            <w:r>
              <w:rPr>
                <w:rFonts w:ascii="Times New Roman" w:hAnsi="Times New Roman"/>
                <w:sz w:val="24"/>
              </w:rPr>
              <w:t xml:space="preserve"> c eller exponeringar mot hushåll enligt artikel 147.2 d ii i förordning (EU) nr 575/2013, om </w:t>
            </w:r>
            <w:r>
              <w:rPr>
                <w:rFonts w:ascii="Times New Roman" w:hAnsi="Times New Roman"/>
                <w:sz w:val="24"/>
              </w:rPr>
              <w:lastRenderedPageBreak/>
              <w:t>exponeringarna är säkrade genom panträtt i bostadsfastighet i enlighet med artikel 199.1 a i förordning (EU) nr 575/2013</w:t>
            </w:r>
          </w:p>
          <w:p w14:paraId="434D72CF" w14:textId="69DE627D" w:rsidR="004250C0"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internmetoden.</w:t>
            </w:r>
          </w:p>
        </w:tc>
      </w:tr>
      <w:tr w:rsidR="002A54FF" w:rsidRPr="00E75BB8" w14:paraId="18D713C4" w14:textId="77777777" w:rsidTr="000B66BC">
        <w:trPr>
          <w:trHeight w:val="71"/>
        </w:trPr>
        <w:tc>
          <w:tcPr>
            <w:tcW w:w="1559" w:type="dxa"/>
            <w:shd w:val="clear" w:color="auto" w:fill="FFFFFF"/>
          </w:tcPr>
          <w:p w14:paraId="10D72D62" w14:textId="3E23070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{0210;0010}</w:t>
            </w:r>
          </w:p>
        </w:tc>
        <w:tc>
          <w:tcPr>
            <w:tcW w:w="7406" w:type="dxa"/>
            <w:shd w:val="clear" w:color="auto" w:fill="FFFFFF"/>
          </w:tcPr>
          <w:p w14:paraId="29F4D22F" w14:textId="0AFB67CF"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Hushållsexponeringar – bruttosoliditetsgradens exponeringsvärde – exponeringar enligt schablonmetoden</w:t>
            </w:r>
          </w:p>
          <w:p w14:paraId="1C50F3CF" w14:textId="232A5189"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Bruttosoliditetsgradens exponeringsvärde av tillgångar som utgör hushållsexponeringar enligt schablonmetoden och som omfattas av artikel 123 i förordning (EU) nr 575/2013</w:t>
            </w:r>
          </w:p>
          <w:p w14:paraId="467BDCEC" w14:textId="6EA2353B"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Institut ska rapportera detta minus fallerade exponeringar enligt schablonmetoden.</w:t>
            </w:r>
          </w:p>
        </w:tc>
      </w:tr>
      <w:tr w:rsidR="002A54FF" w:rsidRPr="00E75BB8" w14:paraId="29E5C489" w14:textId="77777777" w:rsidTr="000B66BC">
        <w:trPr>
          <w:trHeight w:val="71"/>
        </w:trPr>
        <w:tc>
          <w:tcPr>
            <w:tcW w:w="1559" w:type="dxa"/>
            <w:shd w:val="clear" w:color="auto" w:fill="FFFFFF"/>
          </w:tcPr>
          <w:p w14:paraId="0E1E0B5E" w14:textId="70EE57D3"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{0210;0020}</w:t>
            </w:r>
          </w:p>
        </w:tc>
        <w:tc>
          <w:tcPr>
            <w:tcW w:w="7406" w:type="dxa"/>
            <w:shd w:val="clear" w:color="auto" w:fill="FFFFFF"/>
          </w:tcPr>
          <w:p w14:paraId="31A6BB5D" w14:textId="22D5A81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Hushållsexponeringar – bruttosoliditetsgradens exponeringsvärde – exponeringar enligt internmetod</w:t>
            </w:r>
          </w:p>
          <w:p w14:paraId="2F48B2D6" w14:textId="33692B94"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Bruttosoliditetsgradens exponeringsvärde av tillgångar som utgör hushållsexponeringar enligt internmetoden enligt artikel 147.2 d i, iii och iv i förordning (EU) nr 575/2013, om exponeringarna inte är säkrade genom panträtt i fast egendom i enlighet med artikel 199.1 a i förordning (EU) nr 575/2013</w:t>
            </w:r>
          </w:p>
          <w:p w14:paraId="3E24EEB1" w14:textId="56A3B7C1"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Institut ska rapportera detta minus fallerade exponeringar enligt internmetoden.</w:t>
            </w:r>
          </w:p>
        </w:tc>
      </w:tr>
      <w:tr w:rsidR="002A54FF" w:rsidRPr="00E75BB8" w14:paraId="2494CE48" w14:textId="77777777" w:rsidTr="000B66BC">
        <w:trPr>
          <w:trHeight w:val="71"/>
        </w:trPr>
        <w:tc>
          <w:tcPr>
            <w:tcW w:w="1559" w:type="dxa"/>
            <w:shd w:val="clear" w:color="auto" w:fill="FFFFFF"/>
          </w:tcPr>
          <w:p w14:paraId="6EB17324" w14:textId="4693281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{0210;0030}</w:t>
            </w:r>
          </w:p>
        </w:tc>
        <w:tc>
          <w:tcPr>
            <w:tcW w:w="7406" w:type="dxa"/>
            <w:shd w:val="clear" w:color="auto" w:fill="FFFFFF"/>
          </w:tcPr>
          <w:p w14:paraId="289B0ED6" w14:textId="3F634A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Hushållsexponeringar – riskvägt exponeringsbelopp – exponeringar enligt schablonmetoden</w:t>
            </w:r>
          </w:p>
          <w:p w14:paraId="078B0D1B" w14:textId="64B99A1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Riskvägt exponeringsbelopp för tillgångar som utgör hushållsexponeringar enligt schablonmetoden och som omfattas av artikel 123 i förordning (EU) nr 575/2013</w:t>
            </w:r>
          </w:p>
          <w:p w14:paraId="32C0AC0A" w14:textId="1D4C9F45"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schablonmetoden.</w:t>
            </w:r>
          </w:p>
        </w:tc>
      </w:tr>
      <w:tr w:rsidR="002A54FF" w:rsidRPr="00E75BB8" w14:paraId="076433D7" w14:textId="77777777" w:rsidTr="000B66BC">
        <w:trPr>
          <w:trHeight w:val="71"/>
        </w:trPr>
        <w:tc>
          <w:tcPr>
            <w:tcW w:w="1559" w:type="dxa"/>
            <w:shd w:val="clear" w:color="auto" w:fill="FFFFFF"/>
          </w:tcPr>
          <w:p w14:paraId="7BBA610A" w14:textId="7E09D9E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{0210;0040}</w:t>
            </w:r>
          </w:p>
        </w:tc>
        <w:tc>
          <w:tcPr>
            <w:tcW w:w="7406" w:type="dxa"/>
            <w:shd w:val="clear" w:color="auto" w:fill="FFFFFF"/>
          </w:tcPr>
          <w:p w14:paraId="3829C860" w14:textId="1B4CBE3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Hushållsexponeringar – riskvägt exponeringsbelopp – exponeringar enligt internmetod</w:t>
            </w:r>
          </w:p>
          <w:p w14:paraId="270C61EF" w14:textId="63E1319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Riskvägt exponeringsbelopp för tillgångar som utgör hushållsexponeringar enligt internmetoden enligt artikel 147.2 d i, iii och iv i förordning (EU) nr 575/2013, om exponeringarna inte är säkrade genom panträtt i fast egendom i enlighet med artikel 199.1 a i förordning (EU) nr 575/2013</w:t>
            </w:r>
          </w:p>
          <w:p w14:paraId="46460615" w14:textId="10D3075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internmetoden.</w:t>
            </w:r>
          </w:p>
        </w:tc>
      </w:tr>
      <w:tr w:rsidR="002A54FF" w:rsidRPr="00E75BB8" w14:paraId="0AAA69A4" w14:textId="77777777" w:rsidTr="000B66BC">
        <w:trPr>
          <w:trHeight w:val="71"/>
        </w:trPr>
        <w:tc>
          <w:tcPr>
            <w:tcW w:w="1559" w:type="dxa"/>
            <w:shd w:val="clear" w:color="auto" w:fill="FFFFFF"/>
          </w:tcPr>
          <w:p w14:paraId="2A257B46" w14:textId="42862C0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{0220;0010}</w:t>
            </w:r>
          </w:p>
        </w:tc>
        <w:tc>
          <w:tcPr>
            <w:tcW w:w="7406" w:type="dxa"/>
            <w:shd w:val="clear" w:color="auto" w:fill="FFFFFF"/>
          </w:tcPr>
          <w:p w14:paraId="7AF700CC"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sz w:val="24"/>
              </w:rPr>
              <w:t>varav: Hushållsexponeringar mot små och medelstora företag – bruttosoliditetsgradens exponeringsvärde – exponeringar enligt schablonmetoden</w:t>
            </w:r>
          </w:p>
          <w:p w14:paraId="30054418" w14:textId="51396120"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Bruttosoliditetsgradens exponeringsvärde av tillgångar som utgör hushållsexponeringar enligt schablonmetoden mot små och medelstora företag som omfattas av artikel 123 i förordning (EU) nr 575/2013</w:t>
            </w:r>
          </w:p>
          <w:p w14:paraId="55120FDB" w14:textId="214FE397"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I denna cell ska instituten använda termen ”små och medelstora företag” enligt definitionen i artikel 501.2 b i förordning (EU) nr 575/2013.</w:t>
            </w:r>
          </w:p>
          <w:p w14:paraId="4231C6F4" w14:textId="7E0CACE5"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sz w:val="24"/>
              </w:rPr>
              <w:t>Institut ska rapportera detta minus fallerade exponeringar enligt schablonmetoden.</w:t>
            </w:r>
          </w:p>
        </w:tc>
      </w:tr>
      <w:tr w:rsidR="002A54FF" w:rsidRPr="00E75BB8" w14:paraId="7C0D9518" w14:textId="77777777" w:rsidTr="000B66BC">
        <w:trPr>
          <w:trHeight w:val="71"/>
        </w:trPr>
        <w:tc>
          <w:tcPr>
            <w:tcW w:w="1559" w:type="dxa"/>
            <w:shd w:val="clear" w:color="auto" w:fill="FFFFFF"/>
          </w:tcPr>
          <w:p w14:paraId="46A37ABD" w14:textId="2C88404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{0220;0020}</w:t>
            </w:r>
          </w:p>
        </w:tc>
        <w:tc>
          <w:tcPr>
            <w:tcW w:w="7406" w:type="dxa"/>
            <w:shd w:val="clear" w:color="auto" w:fill="FFFFFF"/>
          </w:tcPr>
          <w:p w14:paraId="08A88D6A"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varav: Hushållsexponeringar mot små och medelstora företag – bruttosoliditetsgradens exponeringsvärde – exponeringar enlig internmetod</w:t>
            </w:r>
          </w:p>
          <w:p w14:paraId="781E0C73" w14:textId="533752F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Bruttosoliditetsgradens exponeringsvärde av tillgångar som utgör hushållsexponeringar enligt internmetoden enligt artikel 147.2 d i, iii och iv i förordning (EU) nr 575/2013, om exponeringarna är exponeringar mot små och medelstora företag och inte är säkrade genom panträtt i fast egendom i enlighet med artikel 199.1 a i förordning (EU) nr 575/2013</w:t>
            </w:r>
          </w:p>
          <w:p w14:paraId="33D07FA1" w14:textId="0C76B163"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I denna cell ska instituten använda termen ”små och medelstora företag” enligt definitionen i artikel 501.2 b i förordning (EU) nr 575/2013.</w:t>
            </w:r>
          </w:p>
          <w:p w14:paraId="04884D64" w14:textId="407FECC5" w:rsidR="002509B1" w:rsidRPr="000B66BC" w:rsidDel="00EC6E42"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internmetoden.</w:t>
            </w:r>
          </w:p>
        </w:tc>
      </w:tr>
      <w:tr w:rsidR="002A54FF" w:rsidRPr="00E75BB8" w14:paraId="7A8F06D1" w14:textId="77777777" w:rsidTr="000B66BC">
        <w:trPr>
          <w:trHeight w:val="71"/>
        </w:trPr>
        <w:tc>
          <w:tcPr>
            <w:tcW w:w="1559" w:type="dxa"/>
            <w:shd w:val="clear" w:color="auto" w:fill="FFFFFF"/>
          </w:tcPr>
          <w:p w14:paraId="301DBA86" w14:textId="0C22B55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{0220;0030}</w:t>
            </w:r>
          </w:p>
        </w:tc>
        <w:tc>
          <w:tcPr>
            <w:tcW w:w="7406" w:type="dxa"/>
            <w:shd w:val="clear" w:color="auto" w:fill="FFFFFF"/>
          </w:tcPr>
          <w:p w14:paraId="54B8F22A" w14:textId="1D4B13D9" w:rsidR="002509B1"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varav: Hushållsexponeringar mot små och medelstora företag – riskvägt exponeringsbelopp – exponeringar enligt schablonmetoden</w:t>
            </w:r>
          </w:p>
          <w:p w14:paraId="6A3FD743" w14:textId="06AB1830"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Riskvägt exponeringsbelopp för tillgångar som utgör hushållsexponeringar enligt schablonmetoden mot små och medelstora företag som omfattas av artikel 123 i förordning (EU) nr 575/2013</w:t>
            </w:r>
          </w:p>
          <w:p w14:paraId="550AD4D7" w14:textId="6CCB9C03" w:rsidR="00086A8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I denna cell ska instituten använda termen ”små och medelstora företag” enligt definitionen i artikel 501.2 b i förordning (EU) nr 575/2013.</w:t>
            </w:r>
          </w:p>
          <w:p w14:paraId="1B6B32F8" w14:textId="14F01D19"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schablonmetoden.</w:t>
            </w:r>
          </w:p>
        </w:tc>
      </w:tr>
      <w:tr w:rsidR="002A54FF" w:rsidRPr="00E75BB8" w14:paraId="0291C492" w14:textId="77777777" w:rsidTr="000B66BC">
        <w:trPr>
          <w:trHeight w:val="71"/>
        </w:trPr>
        <w:tc>
          <w:tcPr>
            <w:tcW w:w="1559" w:type="dxa"/>
            <w:shd w:val="clear" w:color="auto" w:fill="FFFFFF"/>
          </w:tcPr>
          <w:p w14:paraId="5C057F01" w14:textId="210C1BD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{0220;0040}</w:t>
            </w:r>
          </w:p>
        </w:tc>
        <w:tc>
          <w:tcPr>
            <w:tcW w:w="7406" w:type="dxa"/>
            <w:shd w:val="clear" w:color="auto" w:fill="FFFFFF"/>
          </w:tcPr>
          <w:p w14:paraId="59E62599" w14:textId="6893B06F"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varav: Hushållsexponeringar mot små och medelstora företag – riskvägt exponeringsbelopp – exponeringar enligt internmetod</w:t>
            </w:r>
          </w:p>
          <w:p w14:paraId="4092922E" w14:textId="4FF18F2A"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Riskvägt exponeringsbelopp för tillgångar som utgör hushållsexponeringar enligt internmetoden enligt artikel 147.2 d i, iii och iv i förordning (EU) nr 575/2013, om exponeringarna är exponeringar mot små och medelstora </w:t>
            </w:r>
            <w:r>
              <w:rPr>
                <w:rFonts w:ascii="Times New Roman" w:hAnsi="Times New Roman"/>
                <w:sz w:val="24"/>
              </w:rPr>
              <w:lastRenderedPageBreak/>
              <w:t>företag och inte är säkrade genom panträtt i fast egendom i enlighet med artikel 199.1 a i förordning (EU) nr 575/2013</w:t>
            </w:r>
          </w:p>
          <w:p w14:paraId="51FEC3D4" w14:textId="010E27FC"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I denna cell ska instituten använda termen ”små och medelstora företag” enligt definitionen i artikel 501.2 b i förordning (EU) nr 575/2013.</w:t>
            </w:r>
          </w:p>
          <w:p w14:paraId="15449195" w14:textId="06E7A313"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internmetoden.</w:t>
            </w:r>
          </w:p>
        </w:tc>
      </w:tr>
      <w:tr w:rsidR="002A54FF" w:rsidRPr="00E75BB8" w14:paraId="22E0911F" w14:textId="77777777" w:rsidTr="000B66BC">
        <w:trPr>
          <w:trHeight w:val="71"/>
        </w:trPr>
        <w:tc>
          <w:tcPr>
            <w:tcW w:w="1559" w:type="dxa"/>
            <w:shd w:val="clear" w:color="auto" w:fill="FFFFFF"/>
          </w:tcPr>
          <w:p w14:paraId="2D2EB46F" w14:textId="6C0287C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{0230;0010}</w:t>
            </w:r>
          </w:p>
        </w:tc>
        <w:tc>
          <w:tcPr>
            <w:tcW w:w="7406" w:type="dxa"/>
            <w:shd w:val="clear" w:color="auto" w:fill="FFFFFF"/>
          </w:tcPr>
          <w:p w14:paraId="73CCE449" w14:textId="775C5A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Företagsexponeringar – bruttosoliditetsgradens exponeringsvärde – exponeringar enligt schablonmetoden</w:t>
            </w:r>
          </w:p>
          <w:p w14:paraId="4918C822" w14:textId="3B8F07B4"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Detta ska vara summan av {0240,0010} och {0250,0010}.</w:t>
            </w:r>
          </w:p>
          <w:p w14:paraId="0E0CFA07" w14:textId="6CB7CDA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schablonmetoden.</w:t>
            </w:r>
          </w:p>
        </w:tc>
      </w:tr>
      <w:tr w:rsidR="002A54FF" w:rsidRPr="00E75BB8" w14:paraId="12DD0BFF" w14:textId="77777777" w:rsidTr="000B66BC">
        <w:trPr>
          <w:trHeight w:val="71"/>
        </w:trPr>
        <w:tc>
          <w:tcPr>
            <w:tcW w:w="1559" w:type="dxa"/>
            <w:shd w:val="clear" w:color="auto" w:fill="FFFFFF"/>
          </w:tcPr>
          <w:p w14:paraId="1C2C1D0B" w14:textId="454CE52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{0230;0020}</w:t>
            </w:r>
          </w:p>
        </w:tc>
        <w:tc>
          <w:tcPr>
            <w:tcW w:w="7406" w:type="dxa"/>
            <w:shd w:val="clear" w:color="auto" w:fill="FFFFFF"/>
          </w:tcPr>
          <w:p w14:paraId="6362ED1C" w14:textId="48ECB6B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Företagsexponeringar – bruttosoliditetsgradens exponeringsvärde – exponeringar enligt internmetod</w:t>
            </w:r>
          </w:p>
          <w:p w14:paraId="3219ACC2" w14:textId="4FF4B09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Detta ska vara summan av {0240,0020} och {0250,0020}.</w:t>
            </w:r>
          </w:p>
          <w:p w14:paraId="4E2F97BD" w14:textId="057F74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internmetoden.</w:t>
            </w:r>
          </w:p>
        </w:tc>
      </w:tr>
      <w:tr w:rsidR="002A54FF" w:rsidRPr="00E75BB8" w14:paraId="1AA657CC" w14:textId="77777777" w:rsidTr="000B66BC">
        <w:trPr>
          <w:trHeight w:val="71"/>
        </w:trPr>
        <w:tc>
          <w:tcPr>
            <w:tcW w:w="1559" w:type="dxa"/>
            <w:shd w:val="clear" w:color="auto" w:fill="FFFFFF"/>
          </w:tcPr>
          <w:p w14:paraId="4522036A" w14:textId="1BC453B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{0230;0030}</w:t>
            </w:r>
          </w:p>
        </w:tc>
        <w:tc>
          <w:tcPr>
            <w:tcW w:w="7406" w:type="dxa"/>
            <w:shd w:val="clear" w:color="auto" w:fill="FFFFFF"/>
          </w:tcPr>
          <w:p w14:paraId="44E9C1D0" w14:textId="47E578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Företagsexponeringar – riskvägt exponeringsbelopp – exponeringar enligt schablonmetoden</w:t>
            </w:r>
          </w:p>
          <w:p w14:paraId="327E6857" w14:textId="7197BBC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Detta ska vara summan av {0240,0030} och {0250,0030}.</w:t>
            </w:r>
          </w:p>
          <w:p w14:paraId="730ED24A" w14:textId="291AC1EA"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schablonmetoden.</w:t>
            </w:r>
          </w:p>
        </w:tc>
      </w:tr>
      <w:tr w:rsidR="002A54FF" w:rsidRPr="00E75BB8" w14:paraId="0C1B4712" w14:textId="77777777" w:rsidTr="000B66BC">
        <w:trPr>
          <w:trHeight w:val="71"/>
        </w:trPr>
        <w:tc>
          <w:tcPr>
            <w:tcW w:w="1559" w:type="dxa"/>
            <w:shd w:val="clear" w:color="auto" w:fill="FFFFFF"/>
          </w:tcPr>
          <w:p w14:paraId="7A82EAC6" w14:textId="7CFA6BC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{0230;0040}</w:t>
            </w:r>
          </w:p>
        </w:tc>
        <w:tc>
          <w:tcPr>
            <w:tcW w:w="7406" w:type="dxa"/>
            <w:shd w:val="clear" w:color="auto" w:fill="FFFFFF"/>
          </w:tcPr>
          <w:p w14:paraId="0B759A94" w14:textId="0A1DE6F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Företagsexponeringar – riskvägt exponeringsbelopp – exponeringar enligt internmetod</w:t>
            </w:r>
          </w:p>
          <w:p w14:paraId="1D494120" w14:textId="6A9832C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Detta ska vara summan av {0240,0040} och {0250,0040}.</w:t>
            </w:r>
          </w:p>
          <w:p w14:paraId="1F4A9AA4" w14:textId="53069870"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internmetoden.</w:t>
            </w:r>
          </w:p>
        </w:tc>
      </w:tr>
      <w:tr w:rsidR="002A54FF" w:rsidRPr="00E75BB8" w14:paraId="5D9FF2D4" w14:textId="77777777" w:rsidTr="000B66BC">
        <w:trPr>
          <w:trHeight w:val="71"/>
        </w:trPr>
        <w:tc>
          <w:tcPr>
            <w:tcW w:w="1559" w:type="dxa"/>
            <w:shd w:val="clear" w:color="auto" w:fill="FFFFFF"/>
          </w:tcPr>
          <w:p w14:paraId="0D822794" w14:textId="69E077E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{0240;0010}</w:t>
            </w:r>
          </w:p>
        </w:tc>
        <w:tc>
          <w:tcPr>
            <w:tcW w:w="7406" w:type="dxa"/>
            <w:shd w:val="clear" w:color="auto" w:fill="FFFFFF"/>
          </w:tcPr>
          <w:p w14:paraId="6E90DECA" w14:textId="3F12F29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Exponeringar mot finansiella företag – bruttosoliditetsgradens exponeringsvärde – exponeringar enligt schablonmetoden</w:t>
            </w:r>
          </w:p>
          <w:p w14:paraId="7CAB4F9A" w14:textId="1720AD57"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Bruttosoliditetsgradens exponeringsvärde av tillgångar som utgör exponeringar enligt schablonmetoden mot finansiella företag som omfattas av artikel 122 i förordning (EU) nr 575/2013</w:t>
            </w:r>
          </w:p>
          <w:p w14:paraId="48ACEE9F" w14:textId="5BA69E5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För rapporteringen i LR4 avses med ”finansiella företag” andra reglerade och oreglerade företag än de institut som avses i {0180;0010}, vars huvudsakliga verksamhet består i att förvärva aktier eller utföra en eller </w:t>
            </w:r>
            <w:r>
              <w:rPr>
                <w:rFonts w:ascii="Times New Roman" w:hAnsi="Times New Roman"/>
                <w:sz w:val="24"/>
              </w:rPr>
              <w:lastRenderedPageBreak/>
              <w:t xml:space="preserve">flera av de verksamheter som anges i bilaga I till direktiv 2013/36/EU, samt företag som definieras i artikel 4.1.27 i förordning (EU) nr 575/2013 och som inte är sådana institut som avses i {0180;0010}. </w:t>
            </w:r>
          </w:p>
          <w:p w14:paraId="34C751F5" w14:textId="603A895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schablonmetoden.</w:t>
            </w:r>
          </w:p>
        </w:tc>
      </w:tr>
      <w:tr w:rsidR="002A54FF" w:rsidRPr="00E75BB8" w14:paraId="3897B4FD" w14:textId="77777777" w:rsidTr="000B66BC">
        <w:trPr>
          <w:trHeight w:val="71"/>
        </w:trPr>
        <w:tc>
          <w:tcPr>
            <w:tcW w:w="1559" w:type="dxa"/>
            <w:shd w:val="clear" w:color="auto" w:fill="FFFFFF"/>
          </w:tcPr>
          <w:p w14:paraId="5C338C26" w14:textId="03E777A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{0240;0020}</w:t>
            </w:r>
          </w:p>
        </w:tc>
        <w:tc>
          <w:tcPr>
            <w:tcW w:w="7406" w:type="dxa"/>
            <w:shd w:val="clear" w:color="auto" w:fill="FFFFFF"/>
          </w:tcPr>
          <w:p w14:paraId="4094858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Exponeringar mot finansiella företag – bruttosoliditetsgradens exponeringsvärde – exponeringar enligt internmetod</w:t>
            </w:r>
          </w:p>
          <w:p w14:paraId="058EB000" w14:textId="0F13A073"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Bruttosoliditetsgradens exponeringsvärde av tillgångar som utgör exponeringar enligt internmetoden mot finansiella företag enligt artikel </w:t>
            </w:r>
            <w:proofErr w:type="gramStart"/>
            <w:r>
              <w:rPr>
                <w:rFonts w:ascii="Times New Roman" w:hAnsi="Times New Roman"/>
                <w:sz w:val="24"/>
              </w:rPr>
              <w:t>147.2</w:t>
            </w:r>
            <w:proofErr w:type="gramEnd"/>
            <w:r>
              <w:rPr>
                <w:rFonts w:ascii="Times New Roman" w:hAnsi="Times New Roman"/>
                <w:sz w:val="24"/>
              </w:rPr>
              <w:t xml:space="preserve"> c i förordning (EU) nr 575/2013, om exponeringarna inte är säkrade genom panträtt i fast egendom i enlighet med artikel 199.1 a i förordning (EU) nr 575/2013</w:t>
            </w:r>
          </w:p>
          <w:p w14:paraId="07B8C8CE" w14:textId="7EFF169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För rapporteringen i LR4 avses med ”finansiella företag” andra reglerade och oreglerade företag än de institut som avses i {0180;0010}, vars huvudsakliga verksamhet består i att förvärva aktier eller utföra en eller flera av de verksamheter som anges i bilaga I till direktiv 2013/36/EU, samt företag som definieras i artikel 4.1.27 i förordning (EU) nr 575/2013 och som inte är sådana institut som avses i {0180;0010}. </w:t>
            </w:r>
          </w:p>
          <w:p w14:paraId="51655C6D" w14:textId="31474CF4"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internmetoden.</w:t>
            </w:r>
          </w:p>
        </w:tc>
      </w:tr>
      <w:tr w:rsidR="002A54FF" w:rsidRPr="00E75BB8" w14:paraId="7E381EEB" w14:textId="77777777" w:rsidTr="000B66BC">
        <w:trPr>
          <w:trHeight w:val="71"/>
        </w:trPr>
        <w:tc>
          <w:tcPr>
            <w:tcW w:w="1559" w:type="dxa"/>
            <w:shd w:val="clear" w:color="auto" w:fill="FFFFFF"/>
          </w:tcPr>
          <w:p w14:paraId="2F071D43" w14:textId="5D1456F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{0240;0030}</w:t>
            </w:r>
          </w:p>
        </w:tc>
        <w:tc>
          <w:tcPr>
            <w:tcW w:w="7406" w:type="dxa"/>
            <w:shd w:val="clear" w:color="auto" w:fill="FFFFFF"/>
          </w:tcPr>
          <w:p w14:paraId="3EFA5487" w14:textId="705A466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Exponeringar mot finansiella företag – riskvägt exponeringsbelopp – exponeringar enligt schablonmetoden</w:t>
            </w:r>
          </w:p>
          <w:p w14:paraId="08FF6980" w14:textId="1B12B59D"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Riskvägt exponeringsbelopp för tillgångar som utgör exponeringar enligt schablonmetoden mot finansiella företag som omfattas av artikel 122 i förordning (EU) nr 575/2013</w:t>
            </w:r>
          </w:p>
          <w:p w14:paraId="4DE325F6" w14:textId="37CE0D3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För rapporteringen i LR4 avses med ”finansiella företag” andra reglerade och oreglerade företag än de institut som avses i {0180;0010}, vars huvudsakliga verksamhet består i att förvärva aktier eller utföra en eller flera av de verksamheter som anges i bilaga I till direktiv 2013/36/EU, samt företag som definieras i artikel 4.1.27 i förordning (EU) nr 575/2013 och som inte är sådana institut som avses i {0180;0010}. </w:t>
            </w:r>
          </w:p>
          <w:p w14:paraId="6B38D45F" w14:textId="591397C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schablonmetoden.</w:t>
            </w:r>
          </w:p>
        </w:tc>
      </w:tr>
      <w:tr w:rsidR="002A54FF" w:rsidRPr="00E75BB8" w14:paraId="7E13A8B7" w14:textId="77777777" w:rsidTr="000B66BC">
        <w:trPr>
          <w:trHeight w:val="71"/>
        </w:trPr>
        <w:tc>
          <w:tcPr>
            <w:tcW w:w="1559" w:type="dxa"/>
            <w:shd w:val="clear" w:color="auto" w:fill="FFFFFF"/>
          </w:tcPr>
          <w:p w14:paraId="4A07187A" w14:textId="59A5E64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{0240;0040}</w:t>
            </w:r>
          </w:p>
        </w:tc>
        <w:tc>
          <w:tcPr>
            <w:tcW w:w="7406" w:type="dxa"/>
            <w:shd w:val="clear" w:color="auto" w:fill="FFFFFF"/>
          </w:tcPr>
          <w:p w14:paraId="0D42EAF2" w14:textId="4C7FF3C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Exponeringar mot finansiella företag – riskvägt exponeringsbelopp – exponeringar enligt internmetod</w:t>
            </w:r>
          </w:p>
          <w:p w14:paraId="2E63CDE0" w14:textId="17E55BEE"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Riskvägt exponeringsbelopp för tillgångar som utgör exponeringar enligt internmetoden mot finansiella företag enligt artikel </w:t>
            </w:r>
            <w:proofErr w:type="gramStart"/>
            <w:r>
              <w:rPr>
                <w:rFonts w:ascii="Times New Roman" w:hAnsi="Times New Roman"/>
                <w:sz w:val="24"/>
              </w:rPr>
              <w:t>147.2</w:t>
            </w:r>
            <w:proofErr w:type="gramEnd"/>
            <w:r>
              <w:rPr>
                <w:rFonts w:ascii="Times New Roman" w:hAnsi="Times New Roman"/>
                <w:sz w:val="24"/>
              </w:rPr>
              <w:t xml:space="preserve"> c i förordning </w:t>
            </w:r>
            <w:r>
              <w:rPr>
                <w:rFonts w:ascii="Times New Roman" w:hAnsi="Times New Roman"/>
                <w:sz w:val="24"/>
              </w:rPr>
              <w:lastRenderedPageBreak/>
              <w:t>(EU) nr 575/2013, om exponeringarna inte är säkrade genom panträtt i fast egendom i enlighet med artikel 199.1 a i förordning (EU) nr 575/2013</w:t>
            </w:r>
          </w:p>
          <w:p w14:paraId="717CB3D1" w14:textId="55046D1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För rapporteringen i LR4 avses med ”finansiella företag” andra reglerade och oreglerade företag än de institut som avses i {0180;0010}, vars huvudsakliga verksamhet består i att förvärva aktier eller utföra en eller flera av de verksamheter som anges i bilaga I till direktiv 2013/36/EU, samt företag som definieras i artikel 4.1.27 i förordning (EU) nr 575/2013 och som inte är sådana institut som avses i {0180;0010}.</w:t>
            </w:r>
          </w:p>
          <w:p w14:paraId="46CE9414" w14:textId="0957AC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internmetoden.</w:t>
            </w:r>
          </w:p>
        </w:tc>
      </w:tr>
      <w:tr w:rsidR="002A54FF" w:rsidRPr="00E75BB8" w14:paraId="1D9775DE" w14:textId="77777777" w:rsidTr="000B66BC">
        <w:trPr>
          <w:trHeight w:val="71"/>
        </w:trPr>
        <w:tc>
          <w:tcPr>
            <w:tcW w:w="1559" w:type="dxa"/>
            <w:shd w:val="clear" w:color="auto" w:fill="FFFFFF"/>
          </w:tcPr>
          <w:p w14:paraId="533C726F" w14:textId="47DF85C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{0250;0010}</w:t>
            </w:r>
          </w:p>
        </w:tc>
        <w:tc>
          <w:tcPr>
            <w:tcW w:w="7406" w:type="dxa"/>
            <w:shd w:val="clear" w:color="auto" w:fill="FFFFFF"/>
          </w:tcPr>
          <w:p w14:paraId="50FEF333" w14:textId="081F5C0C"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Exponeringar mot icke-finansiella företag – bruttosoliditetsgradens exponeringsvärde – exponeringar enligt schablonmetoden</w:t>
            </w:r>
          </w:p>
          <w:p w14:paraId="79750DB3" w14:textId="25D9C49A"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Bruttosoliditetsgradens exponeringsvärde av tillgångar som utgör exponeringar enligt schablonmetoden mot icke-finansiella företag som omfattas av artikel 122 i förordning (EU) nr 575/2013</w:t>
            </w:r>
          </w:p>
          <w:p w14:paraId="1A9B7F32" w14:textId="42798EB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Detta ska vara summan av {0260,0010} och {0270,0010}.</w:t>
            </w:r>
          </w:p>
          <w:p w14:paraId="69CDF75C" w14:textId="4C652EE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schablonmetoden.</w:t>
            </w:r>
          </w:p>
        </w:tc>
      </w:tr>
      <w:tr w:rsidR="002A54FF" w:rsidRPr="00E75BB8" w14:paraId="47291240" w14:textId="77777777" w:rsidTr="000B66BC">
        <w:trPr>
          <w:trHeight w:val="71"/>
        </w:trPr>
        <w:tc>
          <w:tcPr>
            <w:tcW w:w="1559" w:type="dxa"/>
            <w:shd w:val="clear" w:color="auto" w:fill="FFFFFF"/>
          </w:tcPr>
          <w:p w14:paraId="56917946" w14:textId="5C76670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{0250;0020}</w:t>
            </w:r>
          </w:p>
        </w:tc>
        <w:tc>
          <w:tcPr>
            <w:tcW w:w="7406" w:type="dxa"/>
            <w:shd w:val="clear" w:color="auto" w:fill="FFFFFF"/>
          </w:tcPr>
          <w:p w14:paraId="25E6520A" w14:textId="3CB20E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Exponeringar mot icke-finansiella företag – bruttosoliditetsgradens exponeringsvärde – exponeringar enligt internmetod</w:t>
            </w:r>
          </w:p>
          <w:p w14:paraId="1615C090" w14:textId="04C77CB2"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Bruttosoliditetsgradens exponeringsvärde av tillgångar som utgör exponeringar enligt internmetoden mot icke-finansiella företag enligt artikel </w:t>
            </w:r>
            <w:proofErr w:type="gramStart"/>
            <w:r>
              <w:rPr>
                <w:rFonts w:ascii="Times New Roman" w:hAnsi="Times New Roman"/>
                <w:sz w:val="24"/>
              </w:rPr>
              <w:t>147.2</w:t>
            </w:r>
            <w:proofErr w:type="gramEnd"/>
            <w:r>
              <w:rPr>
                <w:rFonts w:ascii="Times New Roman" w:hAnsi="Times New Roman"/>
                <w:sz w:val="24"/>
              </w:rPr>
              <w:t xml:space="preserve"> c i förordning (EU) nr 575/2013, om exponeringarna inte är säkrade genom panträtt i fast egendom i enlighet med artikel 199.1 a i förordning (EU) nr 575/2013</w:t>
            </w:r>
          </w:p>
          <w:p w14:paraId="5B891D71" w14:textId="425CD8A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Detta ska vara summan av {0260,0020} och {0270,0020}.</w:t>
            </w:r>
          </w:p>
          <w:p w14:paraId="4A94BD25" w14:textId="7EF0446C"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internmetoden.</w:t>
            </w:r>
          </w:p>
        </w:tc>
      </w:tr>
      <w:tr w:rsidR="002A54FF" w:rsidRPr="00E75BB8" w14:paraId="1569EBB2" w14:textId="77777777" w:rsidTr="000B66BC">
        <w:trPr>
          <w:trHeight w:val="71"/>
        </w:trPr>
        <w:tc>
          <w:tcPr>
            <w:tcW w:w="1559" w:type="dxa"/>
            <w:shd w:val="clear" w:color="auto" w:fill="FFFFFF"/>
          </w:tcPr>
          <w:p w14:paraId="0DAE0AFA" w14:textId="313B4AD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{0250;0030}</w:t>
            </w:r>
          </w:p>
        </w:tc>
        <w:tc>
          <w:tcPr>
            <w:tcW w:w="7406" w:type="dxa"/>
            <w:shd w:val="clear" w:color="auto" w:fill="FFFFFF"/>
          </w:tcPr>
          <w:p w14:paraId="68E7D79C" w14:textId="33D6CD05"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Exponeringar mot icke-finansiella företag – riskvägt exponeringsbelopp – exponeringar enligt schablonmetoden</w:t>
            </w:r>
          </w:p>
          <w:p w14:paraId="49E48609" w14:textId="74077D5F"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Riskvägt exponeringsbelopp för tillgångar som utgör exponeringar enligt schablonmetoden mot icke-finansiella företag som omfattas av artikel 122 i förordning (EU) nr 575/2013</w:t>
            </w:r>
          </w:p>
          <w:p w14:paraId="11F55E3D" w14:textId="2D4C4F8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Detta ska vara summan av {0260,0030} och {0270,0030}.</w:t>
            </w:r>
          </w:p>
          <w:p w14:paraId="153E6308" w14:textId="63943BB8" w:rsidR="002509B1" w:rsidRPr="000B66BC" w:rsidDel="00504CFF"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schablonmetoden.</w:t>
            </w:r>
          </w:p>
        </w:tc>
      </w:tr>
      <w:tr w:rsidR="002A54FF" w:rsidRPr="00E75BB8" w14:paraId="727F0C04" w14:textId="77777777" w:rsidTr="000B66BC">
        <w:trPr>
          <w:trHeight w:val="71"/>
        </w:trPr>
        <w:tc>
          <w:tcPr>
            <w:tcW w:w="1559" w:type="dxa"/>
            <w:shd w:val="clear" w:color="auto" w:fill="FFFFFF"/>
          </w:tcPr>
          <w:p w14:paraId="1B83D193" w14:textId="5070868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{0250;0040}</w:t>
            </w:r>
          </w:p>
        </w:tc>
        <w:tc>
          <w:tcPr>
            <w:tcW w:w="7406" w:type="dxa"/>
            <w:shd w:val="clear" w:color="auto" w:fill="FFFFFF"/>
          </w:tcPr>
          <w:p w14:paraId="2B0BB9F0" w14:textId="041EA5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Exponeringar mot icke-finansiella företag – riskvägt exponeringsbelopp – exponeringar enligt internmetod</w:t>
            </w:r>
          </w:p>
          <w:p w14:paraId="4DD9CC03" w14:textId="609E2BFE"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Riskvägt exponeringsbelopp för tillgångar som utgör exponeringar enligt internmetoden mot icke-finansiella företag enligt artikel </w:t>
            </w:r>
            <w:proofErr w:type="gramStart"/>
            <w:r>
              <w:rPr>
                <w:rFonts w:ascii="Times New Roman" w:hAnsi="Times New Roman"/>
                <w:sz w:val="24"/>
              </w:rPr>
              <w:t>147.2</w:t>
            </w:r>
            <w:proofErr w:type="gramEnd"/>
            <w:r>
              <w:rPr>
                <w:rFonts w:ascii="Times New Roman" w:hAnsi="Times New Roman"/>
                <w:sz w:val="24"/>
              </w:rPr>
              <w:t xml:space="preserve"> c i förordning (EU) nr 575/2013, om exponeringarna inte är säkrade genom panträtt i fast egendom i enlighet med artikel 199.1 a i förordning (EU) nr 575/2013</w:t>
            </w:r>
          </w:p>
          <w:p w14:paraId="072F6C8B" w14:textId="7E5B0C7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Detta ska vara summan av {0260,0040} och {0270,0040}.</w:t>
            </w:r>
          </w:p>
          <w:p w14:paraId="2B36DB12" w14:textId="48954611" w:rsidR="002509B1"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internmetoden.</w:t>
            </w:r>
          </w:p>
        </w:tc>
      </w:tr>
      <w:tr w:rsidR="002A54FF" w:rsidRPr="00E75BB8" w14:paraId="49E58870" w14:textId="77777777" w:rsidTr="000B66BC">
        <w:trPr>
          <w:trHeight w:val="71"/>
        </w:trPr>
        <w:tc>
          <w:tcPr>
            <w:tcW w:w="1559" w:type="dxa"/>
            <w:shd w:val="clear" w:color="auto" w:fill="FFFFFF"/>
          </w:tcPr>
          <w:p w14:paraId="0EFCE46D" w14:textId="4434901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{0260;0010}</w:t>
            </w:r>
          </w:p>
        </w:tc>
        <w:tc>
          <w:tcPr>
            <w:tcW w:w="7406" w:type="dxa"/>
            <w:shd w:val="clear" w:color="auto" w:fill="FFFFFF"/>
          </w:tcPr>
          <w:p w14:paraId="16D3DD87"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Exponeringar mot små och medelstora företag – bruttosoliditetsgradens exponeringsvärde – exponeringar enligt schablonmetoden</w:t>
            </w:r>
          </w:p>
          <w:p w14:paraId="1237A324" w14:textId="2F0A86F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Bruttosoliditetsgradens exponeringsvärde av tillgångar som utgör exponeringar enligt schablonmetoden mot företag i form av små och medelstora företag som omfattas av artikel 122 i förordning (EU) nr 575/2013</w:t>
            </w:r>
          </w:p>
          <w:p w14:paraId="5E29251B" w14:textId="41E792F5"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sz w:val="24"/>
              </w:rPr>
              <w:t>I denna cell ska instituten använda termen ”små och medelstora företag” enligt definitionen i artikel 501.2 b i förordning (EU) nr 575/2013.</w:t>
            </w:r>
          </w:p>
          <w:p w14:paraId="5FAEA464" w14:textId="7B77BBC5"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Institut ska rapportera detta minus fallerade exponeringar enligt schablonmetoden.</w:t>
            </w:r>
          </w:p>
        </w:tc>
      </w:tr>
      <w:tr w:rsidR="002A54FF" w:rsidRPr="00E75BB8" w14:paraId="13131DF5" w14:textId="77777777" w:rsidTr="000B66BC">
        <w:trPr>
          <w:trHeight w:val="71"/>
        </w:trPr>
        <w:tc>
          <w:tcPr>
            <w:tcW w:w="1559" w:type="dxa"/>
            <w:shd w:val="clear" w:color="auto" w:fill="FFFFFF"/>
          </w:tcPr>
          <w:p w14:paraId="05B0110D" w14:textId="74C0B697"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{0260;0020}</w:t>
            </w:r>
          </w:p>
        </w:tc>
        <w:tc>
          <w:tcPr>
            <w:tcW w:w="7406" w:type="dxa"/>
            <w:shd w:val="clear" w:color="auto" w:fill="FFFFFF"/>
          </w:tcPr>
          <w:p w14:paraId="4E8AC37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Exponeringar mot små och medelstora företag – bruttosoliditetsgradens exponeringsvärde – exponeringar enligt internmetod</w:t>
            </w:r>
          </w:p>
          <w:p w14:paraId="16526905" w14:textId="7BC27B48"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Bruttosoliditetsgradens exponeringsvärde av tillgångar som utgör exponeringar enligt internmetoden mot företag enligt artikel </w:t>
            </w:r>
            <w:proofErr w:type="gramStart"/>
            <w:r>
              <w:rPr>
                <w:rFonts w:ascii="Times New Roman" w:hAnsi="Times New Roman"/>
                <w:sz w:val="24"/>
              </w:rPr>
              <w:t>147.2</w:t>
            </w:r>
            <w:proofErr w:type="gramEnd"/>
            <w:r>
              <w:rPr>
                <w:rFonts w:ascii="Times New Roman" w:hAnsi="Times New Roman"/>
                <w:sz w:val="24"/>
              </w:rPr>
              <w:t xml:space="preserve"> c i förordning (EU) nr 575/2013, om exponeringarna utgör exponeringar mot små och medelstora företag och inte är säkrade genom panträtt i fast egendom i enlighet med artikel 199.1 a i förordning (EU) nr 575/2013</w:t>
            </w:r>
          </w:p>
          <w:p w14:paraId="729394D8" w14:textId="6F0084BF" w:rsidR="002509B1" w:rsidRPr="000B66BC" w:rsidRDefault="004F39F5" w:rsidP="000B66BC">
            <w:pPr>
              <w:pStyle w:val="BodyText1"/>
              <w:spacing w:after="240" w:line="240" w:lineRule="auto"/>
              <w:rPr>
                <w:rFonts w:ascii="Times New Roman" w:hAnsi="Times New Roman"/>
                <w:b/>
                <w:bCs/>
                <w:sz w:val="24"/>
                <w:szCs w:val="24"/>
                <w:u w:val="single"/>
              </w:rPr>
            </w:pPr>
            <w:r>
              <w:rPr>
                <w:rFonts w:ascii="Times New Roman" w:hAnsi="Times New Roman"/>
                <w:sz w:val="24"/>
              </w:rPr>
              <w:t>I denna cell ska instituten använda termen ”små och medelstora företag” enligt definitionen i artikel 501.2 b i förordning (EU) nr 575/2013.</w:t>
            </w:r>
          </w:p>
          <w:p w14:paraId="542463BD" w14:textId="165C2619" w:rsidR="009C4E79"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internmetoden.</w:t>
            </w:r>
          </w:p>
        </w:tc>
      </w:tr>
      <w:tr w:rsidR="002A54FF" w:rsidRPr="00E75BB8" w14:paraId="50044CAE" w14:textId="77777777" w:rsidTr="000B66BC">
        <w:trPr>
          <w:trHeight w:val="71"/>
        </w:trPr>
        <w:tc>
          <w:tcPr>
            <w:tcW w:w="1559" w:type="dxa"/>
            <w:shd w:val="clear" w:color="auto" w:fill="FFFFFF"/>
          </w:tcPr>
          <w:p w14:paraId="5F7100BE" w14:textId="2ACB4AD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{0260;0030}</w:t>
            </w:r>
          </w:p>
        </w:tc>
        <w:tc>
          <w:tcPr>
            <w:tcW w:w="7406" w:type="dxa"/>
            <w:shd w:val="clear" w:color="auto" w:fill="FFFFFF"/>
          </w:tcPr>
          <w:p w14:paraId="0D365078" w14:textId="540263E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Exponeringar mot små och medelstora företag – riskvägt exponeringsbelopp – exponeringar enligt schablonmetoden</w:t>
            </w:r>
          </w:p>
          <w:p w14:paraId="47967B81" w14:textId="01F17C84"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Riskvägt exponeringsbelopp för tillgångar som utgör exponeringar enligt schablonmetoden mot företag i form av små och medelstora företag som omfattas av artikel 122 i förordning (EU) nr 575/2013</w:t>
            </w:r>
          </w:p>
          <w:p w14:paraId="4E35047C" w14:textId="28428170"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sz w:val="24"/>
              </w:rPr>
              <w:t>I denna cell ska instituten använda termen ”små och medelstora företag” enligt definitionen i artikel 501.2 b i förordning (EU) nr 575/2013.</w:t>
            </w:r>
          </w:p>
          <w:p w14:paraId="2B25463D" w14:textId="56CC7FB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schablonmetoden.</w:t>
            </w:r>
          </w:p>
        </w:tc>
      </w:tr>
      <w:tr w:rsidR="002A54FF" w:rsidRPr="00E75BB8" w14:paraId="3DB0057C" w14:textId="77777777" w:rsidTr="000B66BC">
        <w:trPr>
          <w:trHeight w:val="71"/>
        </w:trPr>
        <w:tc>
          <w:tcPr>
            <w:tcW w:w="1559" w:type="dxa"/>
            <w:shd w:val="clear" w:color="auto" w:fill="FFFFFF"/>
          </w:tcPr>
          <w:p w14:paraId="4FFE83BB" w14:textId="4650F9FB"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{0260;0040}</w:t>
            </w:r>
          </w:p>
        </w:tc>
        <w:tc>
          <w:tcPr>
            <w:tcW w:w="7406" w:type="dxa"/>
            <w:shd w:val="clear" w:color="auto" w:fill="FFFFFF"/>
          </w:tcPr>
          <w:p w14:paraId="72107293" w14:textId="2B92F95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Exponeringar mot små och medelstora företag – riskvägt exponeringsbelopp – exponeringar enligt internmetod</w:t>
            </w:r>
          </w:p>
          <w:p w14:paraId="61D071ED" w14:textId="4B1E17FE"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Riskvägt exponeringsbelopp för tillgångar som utgör exponeringar enligt internmetoden mot företag enligt artikel </w:t>
            </w:r>
            <w:proofErr w:type="gramStart"/>
            <w:r>
              <w:rPr>
                <w:rFonts w:ascii="Times New Roman" w:hAnsi="Times New Roman"/>
                <w:sz w:val="24"/>
              </w:rPr>
              <w:t>147.2</w:t>
            </w:r>
            <w:proofErr w:type="gramEnd"/>
            <w:r>
              <w:rPr>
                <w:rFonts w:ascii="Times New Roman" w:hAnsi="Times New Roman"/>
                <w:sz w:val="24"/>
              </w:rPr>
              <w:t xml:space="preserve"> c i förordning (EU) nr 575/2013, om exponeringarna utgör exponeringar mot små och medelstora företag och inte är säkrade genom panträtt i fast egendom i enlighet med artikel 199.1 a i förordning (EU) nr 575/2013</w:t>
            </w:r>
          </w:p>
          <w:p w14:paraId="14AF8756" w14:textId="5C8B38D3" w:rsidR="004F39F5"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sz w:val="24"/>
              </w:rPr>
              <w:t>I denna cell ska instituten använda termen ”små och medelstora företag” enligt definitionen i artikel 501.2 b i förordning (EU) nr 575/2013.</w:t>
            </w:r>
          </w:p>
          <w:p w14:paraId="0EF08F24" w14:textId="18E4DC9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internmetoden.</w:t>
            </w:r>
          </w:p>
        </w:tc>
      </w:tr>
      <w:tr w:rsidR="002A54FF" w:rsidRPr="00E75BB8" w14:paraId="447B232E" w14:textId="77777777" w:rsidTr="000B66BC">
        <w:trPr>
          <w:trHeight w:val="71"/>
        </w:trPr>
        <w:tc>
          <w:tcPr>
            <w:tcW w:w="1559" w:type="dxa"/>
            <w:shd w:val="clear" w:color="auto" w:fill="FFFFFF"/>
          </w:tcPr>
          <w:p w14:paraId="24CF42BC" w14:textId="0762963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{0270;0010}</w:t>
            </w:r>
          </w:p>
        </w:tc>
        <w:tc>
          <w:tcPr>
            <w:tcW w:w="7406" w:type="dxa"/>
            <w:shd w:val="clear" w:color="auto" w:fill="FFFFFF"/>
          </w:tcPr>
          <w:p w14:paraId="368904F3" w14:textId="1EEE993E" w:rsidR="002509B1" w:rsidRPr="000B66BC" w:rsidRDefault="00BE6AC4" w:rsidP="000B66BC">
            <w:pPr>
              <w:pStyle w:val="BodyText1"/>
              <w:spacing w:after="240" w:line="240" w:lineRule="auto"/>
              <w:rPr>
                <w:rFonts w:ascii="Times New Roman" w:hAnsi="Times New Roman"/>
                <w:b/>
                <w:sz w:val="24"/>
                <w:szCs w:val="24"/>
              </w:rPr>
            </w:pPr>
            <w:r>
              <w:rPr>
                <w:rFonts w:ascii="Times New Roman" w:hAnsi="Times New Roman"/>
                <w:b/>
                <w:sz w:val="24"/>
              </w:rPr>
              <w:t>Exponeringar mot andra än små och medelstora företag – bruttosoliditetsgradens exponeringsvärde – exponeringar enligt schablonmetoden</w:t>
            </w:r>
          </w:p>
          <w:p w14:paraId="41FBC40B" w14:textId="640FD06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Bruttosoliditetsgradens exponeringsvärde av tillgångar som utgör exponeringar enligt schablonmetoden mot företag som omfattas av artikel 122 i förordning (EU) nr 575/2013 och som inte rapporteras i {0230;0040} och {0250;0040}</w:t>
            </w:r>
          </w:p>
          <w:p w14:paraId="01FC3B49" w14:textId="5139686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schablonmetoden.</w:t>
            </w:r>
          </w:p>
        </w:tc>
      </w:tr>
      <w:tr w:rsidR="002A54FF" w:rsidRPr="00E75BB8" w14:paraId="7B64328B" w14:textId="77777777" w:rsidTr="000B66BC">
        <w:trPr>
          <w:trHeight w:val="71"/>
        </w:trPr>
        <w:tc>
          <w:tcPr>
            <w:tcW w:w="1559" w:type="dxa"/>
            <w:shd w:val="clear" w:color="auto" w:fill="FFFFFF"/>
          </w:tcPr>
          <w:p w14:paraId="43017660" w14:textId="3B06C10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{0270;0020}</w:t>
            </w:r>
          </w:p>
        </w:tc>
        <w:tc>
          <w:tcPr>
            <w:tcW w:w="7406" w:type="dxa"/>
            <w:shd w:val="clear" w:color="auto" w:fill="FFFFFF"/>
          </w:tcPr>
          <w:p w14:paraId="2A27297A" w14:textId="77777777"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rPr>
              <w:t>Exponeringar mot andra än små och medelstora företag – bruttosoliditetsgradens exponeringsvärde – exponeringar enligt internmetod</w:t>
            </w:r>
          </w:p>
          <w:p w14:paraId="585E711E" w14:textId="28E7DBEA"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Bruttosoliditetsgradens exponeringsvärde av tillgångar som utgör exponeringar enligt internmetoden mot företag enligt artikel </w:t>
            </w:r>
            <w:proofErr w:type="gramStart"/>
            <w:r>
              <w:rPr>
                <w:rFonts w:ascii="Times New Roman" w:hAnsi="Times New Roman"/>
                <w:sz w:val="24"/>
              </w:rPr>
              <w:t>147.2</w:t>
            </w:r>
            <w:proofErr w:type="gramEnd"/>
            <w:r>
              <w:rPr>
                <w:rFonts w:ascii="Times New Roman" w:hAnsi="Times New Roman"/>
                <w:sz w:val="24"/>
              </w:rPr>
              <w:t xml:space="preserve"> c i förordning (EU) nr 575/2013, om exponeringarna inte är säkrade genom panträtt i fast egendom i enlighet med artikel 199.1 a i förordning (EU) nr 575/2013 och inte rapporteras i {0230;0040} och {0250;0040}</w:t>
            </w:r>
          </w:p>
          <w:p w14:paraId="714190FD" w14:textId="58141E5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internmetoden.</w:t>
            </w:r>
          </w:p>
        </w:tc>
      </w:tr>
      <w:tr w:rsidR="002A54FF" w:rsidRPr="00E75BB8" w14:paraId="44BE393C" w14:textId="77777777" w:rsidTr="000B66BC">
        <w:trPr>
          <w:trHeight w:val="71"/>
        </w:trPr>
        <w:tc>
          <w:tcPr>
            <w:tcW w:w="1559" w:type="dxa"/>
            <w:shd w:val="clear" w:color="auto" w:fill="FFFFFF"/>
          </w:tcPr>
          <w:p w14:paraId="4DF3E96B" w14:textId="78C7DD3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{0270;0030}</w:t>
            </w:r>
          </w:p>
        </w:tc>
        <w:tc>
          <w:tcPr>
            <w:tcW w:w="7406" w:type="dxa"/>
            <w:shd w:val="clear" w:color="auto" w:fill="FFFFFF"/>
          </w:tcPr>
          <w:p w14:paraId="214E8F81" w14:textId="267DF9F2"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rPr>
              <w:t>Exponeringar mot andra än små och medelstora företag – riskvägt exponeringsbelopp – exponeringar enligt schablonmetoden</w:t>
            </w:r>
          </w:p>
          <w:p w14:paraId="10BEA73F" w14:textId="61EC6DD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Riskvägt exponeringsbelopp för tillgångar som utgör exponeringar enligt schablonmetoden mot företag som omfattas av artikel 122 i förordning (EU) nr 575/2013 och som inte rapporteras i {0230;0040} och {0250;0040}</w:t>
            </w:r>
          </w:p>
          <w:p w14:paraId="3BF86EC4" w14:textId="255E5CD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schablonmetoden.</w:t>
            </w:r>
          </w:p>
        </w:tc>
      </w:tr>
      <w:tr w:rsidR="002A54FF" w:rsidRPr="00E75BB8" w14:paraId="4284B6D9" w14:textId="77777777" w:rsidTr="000B66BC">
        <w:trPr>
          <w:trHeight w:val="71"/>
        </w:trPr>
        <w:tc>
          <w:tcPr>
            <w:tcW w:w="1559" w:type="dxa"/>
            <w:shd w:val="clear" w:color="auto" w:fill="FFFFFF"/>
          </w:tcPr>
          <w:p w14:paraId="50A67914" w14:textId="4063927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{0270;0040}</w:t>
            </w:r>
          </w:p>
        </w:tc>
        <w:tc>
          <w:tcPr>
            <w:tcW w:w="7406" w:type="dxa"/>
            <w:shd w:val="clear" w:color="auto" w:fill="FFFFFF"/>
          </w:tcPr>
          <w:p w14:paraId="4D405A64" w14:textId="301D30BA" w:rsidR="002509B1"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rPr>
              <w:t>Exponeringar mot andra än små och medelstora företag – riskvägt exponeringsbelopp – exponeringar enligt internmetod</w:t>
            </w:r>
          </w:p>
          <w:p w14:paraId="66C72176" w14:textId="085A3EC0"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Riskvägt exponeringsbelopp för tillgångar som utgör exponeringar enligt internmetoden mot företag enligt artikel </w:t>
            </w:r>
            <w:proofErr w:type="gramStart"/>
            <w:r>
              <w:rPr>
                <w:rFonts w:ascii="Times New Roman" w:hAnsi="Times New Roman"/>
                <w:sz w:val="24"/>
              </w:rPr>
              <w:t>147.2</w:t>
            </w:r>
            <w:proofErr w:type="gramEnd"/>
            <w:r>
              <w:rPr>
                <w:rFonts w:ascii="Times New Roman" w:hAnsi="Times New Roman"/>
                <w:sz w:val="24"/>
              </w:rPr>
              <w:t xml:space="preserve"> c i förordning (EU) nr 575/2013, om exponeringarna inte är säkrade genom panträtt i fast egendom i enlighet med artikel 199.1 a i förordning (EU) nr 575/2013 och inte rapporteras i {0230;0040} och {0250;0040}</w:t>
            </w:r>
          </w:p>
          <w:p w14:paraId="56E24BD9" w14:textId="2304090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internmetoden.</w:t>
            </w:r>
          </w:p>
        </w:tc>
      </w:tr>
      <w:tr w:rsidR="002A54FF" w:rsidRPr="00E75BB8" w14:paraId="4078E02E" w14:textId="77777777" w:rsidTr="000B66BC">
        <w:trPr>
          <w:trHeight w:val="71"/>
        </w:trPr>
        <w:tc>
          <w:tcPr>
            <w:tcW w:w="1559" w:type="dxa"/>
            <w:shd w:val="clear" w:color="auto" w:fill="FFFFFF"/>
          </w:tcPr>
          <w:p w14:paraId="78678416" w14:textId="11F0757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{0280;0010}</w:t>
            </w:r>
          </w:p>
        </w:tc>
        <w:tc>
          <w:tcPr>
            <w:tcW w:w="7406" w:type="dxa"/>
            <w:shd w:val="clear" w:color="auto" w:fill="FFFFFF"/>
          </w:tcPr>
          <w:p w14:paraId="3643375B"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Fallerande exponeringar – bruttosoliditetsgradens exponeringsvärde – exponeringar enligt schablonmetoden</w:t>
            </w:r>
          </w:p>
          <w:p w14:paraId="19F3FE8B" w14:textId="09260466"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sz w:val="24"/>
              </w:rPr>
              <w:t>Instituten ska rapportera bruttosoliditetsgradens exponeringsvärde av tillgångar som utgör fallerande exponeringar enligt schablonmetoden och därmed omfattas av artikel 127 i förordning (EU) nr 575/2013.</w:t>
            </w:r>
          </w:p>
        </w:tc>
      </w:tr>
      <w:tr w:rsidR="002A54FF" w:rsidRPr="00E75BB8" w14:paraId="6208DB18" w14:textId="77777777" w:rsidTr="000B66BC">
        <w:trPr>
          <w:trHeight w:val="71"/>
        </w:trPr>
        <w:tc>
          <w:tcPr>
            <w:tcW w:w="1559" w:type="dxa"/>
            <w:shd w:val="clear" w:color="auto" w:fill="FFFFFF"/>
          </w:tcPr>
          <w:p w14:paraId="783D1BB3" w14:textId="6E8DA48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{0280;0020}</w:t>
            </w:r>
          </w:p>
        </w:tc>
        <w:tc>
          <w:tcPr>
            <w:tcW w:w="7406" w:type="dxa"/>
            <w:shd w:val="clear" w:color="auto" w:fill="FFFFFF"/>
          </w:tcPr>
          <w:p w14:paraId="5B5C9DCF"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Fallerande exponeringar – bruttosoliditetsgradens exponeringsvärde – exponeringar enligt internmetod</w:t>
            </w:r>
          </w:p>
          <w:p w14:paraId="35C502CA" w14:textId="59584DDE"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sz w:val="24"/>
              </w:rPr>
              <w:t>Instituten ska rapportera bruttosoliditetsgradens exponeringsvärde av tillgångar indelade i de exponeringsklasser som anges i artikel 147.2 i förordning (EU) nr 575/2013 i händelse av fallissemang i enlighet med artikel 178 i förordning (EU) nr 575/2013.</w:t>
            </w:r>
          </w:p>
        </w:tc>
      </w:tr>
      <w:tr w:rsidR="002A54FF" w:rsidRPr="00E75BB8" w14:paraId="3AD252C0" w14:textId="77777777" w:rsidTr="000B66BC">
        <w:trPr>
          <w:trHeight w:val="71"/>
        </w:trPr>
        <w:tc>
          <w:tcPr>
            <w:tcW w:w="1559" w:type="dxa"/>
            <w:shd w:val="clear" w:color="auto" w:fill="FFFFFF"/>
          </w:tcPr>
          <w:p w14:paraId="08CA0E26" w14:textId="78C5E6F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{0280;0030}</w:t>
            </w:r>
          </w:p>
        </w:tc>
        <w:tc>
          <w:tcPr>
            <w:tcW w:w="7406" w:type="dxa"/>
            <w:shd w:val="clear" w:color="auto" w:fill="FFFFFF"/>
          </w:tcPr>
          <w:p w14:paraId="327CD6C9" w14:textId="16A698EF"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Fallerande exponeringar – riskvägt exponeringsbelopp – exponeringar enligt schablonmetoden</w:t>
            </w:r>
          </w:p>
          <w:p w14:paraId="4ECD736F" w14:textId="2BB025BA"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Instituten ska rapportera riskvägt exponeringsbelopp för tillgångar som utgör fallerande exponeringar och därmed omfattas av artikel 127 i förordning (EU) nr 575/2013.</w:t>
            </w:r>
          </w:p>
        </w:tc>
      </w:tr>
      <w:tr w:rsidR="002A54FF" w:rsidRPr="00E75BB8" w14:paraId="1E9BD77A" w14:textId="77777777" w:rsidTr="000B66BC">
        <w:trPr>
          <w:trHeight w:val="71"/>
        </w:trPr>
        <w:tc>
          <w:tcPr>
            <w:tcW w:w="1559" w:type="dxa"/>
            <w:shd w:val="clear" w:color="auto" w:fill="FFFFFF"/>
          </w:tcPr>
          <w:p w14:paraId="31BD5908" w14:textId="24179E5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{0280;0040}</w:t>
            </w:r>
          </w:p>
        </w:tc>
        <w:tc>
          <w:tcPr>
            <w:tcW w:w="7406" w:type="dxa"/>
            <w:shd w:val="clear" w:color="auto" w:fill="FFFFFF"/>
          </w:tcPr>
          <w:p w14:paraId="480D541C" w14:textId="3923716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Fallerande exponeringar – riskvägt exponeringsbelopp – exponeringar enligt internmetod</w:t>
            </w:r>
          </w:p>
          <w:p w14:paraId="5EF9576D" w14:textId="73F3DE3E"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Instituten ska rapportera riskvägt exponeringsbelopp för tillgångar indelade i de exponeringsklasser som anges i artikel 147.2 i förordning (EU) nr </w:t>
            </w:r>
            <w:r>
              <w:rPr>
                <w:rFonts w:ascii="Times New Roman" w:hAnsi="Times New Roman"/>
                <w:sz w:val="24"/>
              </w:rPr>
              <w:lastRenderedPageBreak/>
              <w:t>575/2013 i händelse av fallissemang i enlighet med artikel 178 i förordning (EU) nr 575/2013.</w:t>
            </w:r>
          </w:p>
        </w:tc>
      </w:tr>
      <w:tr w:rsidR="002A54FF" w:rsidRPr="00E75BB8" w14:paraId="3AEBEAE6" w14:textId="77777777" w:rsidTr="000B66BC">
        <w:trPr>
          <w:trHeight w:val="71"/>
        </w:trPr>
        <w:tc>
          <w:tcPr>
            <w:tcW w:w="1559" w:type="dxa"/>
            <w:shd w:val="clear" w:color="auto" w:fill="FFFFFF"/>
          </w:tcPr>
          <w:p w14:paraId="5BA625DB" w14:textId="374E40D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{0290;0010}</w:t>
            </w:r>
          </w:p>
          <w:p w14:paraId="100727CA" w14:textId="77777777" w:rsidR="00F4754B" w:rsidRPr="000B66BC"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Övriga exponeringar – bruttosoliditetsgradens exponeringsvärde – exponeringar enligt schablonmetoden</w:t>
            </w:r>
          </w:p>
          <w:p w14:paraId="59E2187D" w14:textId="6DA1DF9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Bruttosoliditetsgradens exponeringsvärde av tillgångar indelade i de exponeringsklasser som anges i artikel 112 k, m, n, o, p och q i förordning (EU) nr 575/2013</w:t>
            </w:r>
          </w:p>
          <w:p w14:paraId="243415E4" w14:textId="6BDA1162" w:rsidR="002509B1"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sz w:val="24"/>
              </w:rPr>
              <w:t>Institut ska rapportera tillgångar som dras av från kapitalbasen (</w:t>
            </w:r>
            <w:proofErr w:type="gramStart"/>
            <w:r>
              <w:rPr>
                <w:rFonts w:ascii="Times New Roman" w:hAnsi="Times New Roman"/>
                <w:sz w:val="24"/>
              </w:rPr>
              <w:t>t.ex.</w:t>
            </w:r>
            <w:proofErr w:type="gramEnd"/>
            <w:r>
              <w:rPr>
                <w:rFonts w:ascii="Times New Roman" w:hAnsi="Times New Roman"/>
                <w:sz w:val="24"/>
              </w:rPr>
              <w:t xml:space="preserve"> immateriella tillgångar) men som inte annars kan kategoriseras här, även om kategoriseringen inte är nödvändig för att fastställa kravet för riskbaserad kapitalbas i kolumnerna {*; 0030} och {*; 0040}.</w:t>
            </w:r>
          </w:p>
          <w:p w14:paraId="7B7E64BF" w14:textId="27D9DDDB"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Institut ska rapportera detta minus fallerade exponeringar enligt schablonmetoden.</w:t>
            </w:r>
          </w:p>
        </w:tc>
      </w:tr>
      <w:tr w:rsidR="002A54FF" w:rsidRPr="00E75BB8" w14:paraId="72E20088" w14:textId="77777777" w:rsidTr="000B66BC">
        <w:trPr>
          <w:trHeight w:val="71"/>
        </w:trPr>
        <w:tc>
          <w:tcPr>
            <w:tcW w:w="1559" w:type="dxa"/>
            <w:shd w:val="clear" w:color="auto" w:fill="FFFFFF"/>
          </w:tcPr>
          <w:p w14:paraId="079F489C" w14:textId="033B0F9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{0290;0020}</w:t>
            </w:r>
          </w:p>
        </w:tc>
        <w:tc>
          <w:tcPr>
            <w:tcW w:w="7406" w:type="dxa"/>
            <w:shd w:val="clear" w:color="auto" w:fill="FFFFFF"/>
          </w:tcPr>
          <w:p w14:paraId="04B12DFD" w14:textId="7640F74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Övriga exponeringar – bruttosoliditetsgradens exponeringsvärde – exponeringar enligt internmetod</w:t>
            </w:r>
          </w:p>
          <w:p w14:paraId="509BE205" w14:textId="760A9F01" w:rsidR="00482670"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Bruttosoliditetsgradens exponeringsbelopp av tillgångar indelade i de exponeringsklasser som anges i artikel 147.2 e, </w:t>
            </w:r>
            <w:proofErr w:type="spellStart"/>
            <w:r>
              <w:rPr>
                <w:rFonts w:ascii="Times New Roman" w:hAnsi="Times New Roman"/>
                <w:sz w:val="24"/>
              </w:rPr>
              <w:t>ea</w:t>
            </w:r>
            <w:proofErr w:type="spellEnd"/>
            <w:r>
              <w:rPr>
                <w:rFonts w:ascii="Times New Roman" w:hAnsi="Times New Roman"/>
                <w:sz w:val="24"/>
              </w:rPr>
              <w:t>, f och g i förordning (EU) nr 575/2013</w:t>
            </w:r>
          </w:p>
          <w:p w14:paraId="71F126DD" w14:textId="4375AAF5" w:rsidR="00BB388D"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sz w:val="24"/>
              </w:rPr>
              <w:t>Institut ska rapportera tillgångar som dras av från kapitalbasen (</w:t>
            </w:r>
            <w:proofErr w:type="gramStart"/>
            <w:r>
              <w:rPr>
                <w:rFonts w:ascii="Times New Roman" w:hAnsi="Times New Roman"/>
                <w:sz w:val="24"/>
              </w:rPr>
              <w:t>t.ex.</w:t>
            </w:r>
            <w:proofErr w:type="gramEnd"/>
            <w:r>
              <w:rPr>
                <w:rFonts w:ascii="Times New Roman" w:hAnsi="Times New Roman"/>
                <w:sz w:val="24"/>
              </w:rPr>
              <w:t xml:space="preserve"> immateriella tillgångar) men som inte annars kan kategoriseras här, även om kategoriseringen inte är nödvändig för att fastställa kravet för riskbaserad kapitalbas i kolumnerna {*; 0030} och {*; 0040}.</w:t>
            </w:r>
          </w:p>
          <w:p w14:paraId="2C772C0F" w14:textId="142C485B"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internmetoden.</w:t>
            </w:r>
          </w:p>
        </w:tc>
      </w:tr>
      <w:tr w:rsidR="002A54FF" w:rsidRPr="00E75BB8" w14:paraId="6B7AB21E" w14:textId="77777777" w:rsidTr="000B66BC">
        <w:trPr>
          <w:trHeight w:val="71"/>
        </w:trPr>
        <w:tc>
          <w:tcPr>
            <w:tcW w:w="1559" w:type="dxa"/>
            <w:shd w:val="clear" w:color="auto" w:fill="FFFFFF"/>
          </w:tcPr>
          <w:p w14:paraId="633B4D60" w14:textId="1DECF162"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{0290;0030}</w:t>
            </w:r>
          </w:p>
        </w:tc>
        <w:tc>
          <w:tcPr>
            <w:tcW w:w="7406" w:type="dxa"/>
            <w:shd w:val="clear" w:color="auto" w:fill="FFFFFF"/>
          </w:tcPr>
          <w:p w14:paraId="75145255" w14:textId="3F61541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Övriga exponeringar – riskvägt exponeringsbelopp – exponeringar enligt schablonmetoden</w:t>
            </w:r>
          </w:p>
          <w:p w14:paraId="61F5D6CA" w14:textId="1082E7C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Riskvägt exponeringsvärde för tillgångar indelade i de exponeringsklasser som anges i artikel 112 k, m, n, o, p och q i förordning (EU) nr 575/2013</w:t>
            </w:r>
          </w:p>
          <w:p w14:paraId="1A7DE9B0" w14:textId="1E7127C7"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schablonmetoden.</w:t>
            </w:r>
          </w:p>
        </w:tc>
      </w:tr>
      <w:tr w:rsidR="002A54FF" w:rsidRPr="00E75BB8" w14:paraId="7C5A4860" w14:textId="77777777" w:rsidTr="000B66BC">
        <w:trPr>
          <w:trHeight w:val="71"/>
        </w:trPr>
        <w:tc>
          <w:tcPr>
            <w:tcW w:w="1559" w:type="dxa"/>
            <w:shd w:val="clear" w:color="auto" w:fill="FFFFFF"/>
          </w:tcPr>
          <w:p w14:paraId="5D10170B" w14:textId="0353A1D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{0290;0040}</w:t>
            </w:r>
          </w:p>
        </w:tc>
        <w:tc>
          <w:tcPr>
            <w:tcW w:w="7406" w:type="dxa"/>
            <w:shd w:val="clear" w:color="auto" w:fill="FFFFFF"/>
          </w:tcPr>
          <w:p w14:paraId="4D50DB6F" w14:textId="4232608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Övriga exponeringar – riskvägt exponeringsbelopp – exponeringar enligt internmetod</w:t>
            </w:r>
          </w:p>
          <w:p w14:paraId="047D3368" w14:textId="09023488" w:rsidR="00BB388D"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Riskvägt exponeringsvärde för tillgångar indelade i de exponeringsklasser som anges i artikel 147.2 e, </w:t>
            </w:r>
            <w:proofErr w:type="spellStart"/>
            <w:r>
              <w:rPr>
                <w:rFonts w:ascii="Times New Roman" w:hAnsi="Times New Roman"/>
                <w:sz w:val="24"/>
              </w:rPr>
              <w:t>ea</w:t>
            </w:r>
            <w:proofErr w:type="spellEnd"/>
            <w:r>
              <w:rPr>
                <w:rFonts w:ascii="Times New Roman" w:hAnsi="Times New Roman"/>
                <w:sz w:val="24"/>
              </w:rPr>
              <w:t>, f och g i förordning (EU) nr 575/2013</w:t>
            </w:r>
          </w:p>
          <w:p w14:paraId="2891CC60" w14:textId="54E32862"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internmetoden.</w:t>
            </w:r>
          </w:p>
        </w:tc>
      </w:tr>
      <w:tr w:rsidR="002A54FF" w:rsidRPr="00E75BB8" w14:paraId="1F3D2776" w14:textId="77777777" w:rsidTr="000B66BC">
        <w:trPr>
          <w:trHeight w:val="71"/>
        </w:trPr>
        <w:tc>
          <w:tcPr>
            <w:tcW w:w="1559" w:type="dxa"/>
            <w:shd w:val="clear" w:color="auto" w:fill="FFFFFF"/>
          </w:tcPr>
          <w:p w14:paraId="2E979259" w14:textId="01C67E6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{0300;0010}</w:t>
            </w:r>
          </w:p>
        </w:tc>
        <w:tc>
          <w:tcPr>
            <w:tcW w:w="7406" w:type="dxa"/>
            <w:shd w:val="clear" w:color="auto" w:fill="FFFFFF"/>
          </w:tcPr>
          <w:p w14:paraId="3D18A2F9" w14:textId="29912885"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varav: Exponeringar mot värdepapperiseringar – bruttosoliditetsgradens exponeringsvärde – exponeringar enligt schablonmetoden</w:t>
            </w:r>
          </w:p>
          <w:p w14:paraId="7530F6A8" w14:textId="34A5EF3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Bruttosoliditetsgradens exponeringsvärde av tillgångar som utgör exponeringar enligt schablonmetoden mot värdepapperiseringar som omfattas av artikel 112 m i förordning (EU) nr 575/2013</w:t>
            </w:r>
          </w:p>
          <w:p w14:paraId="2DE0AC42" w14:textId="77A211EB" w:rsidR="009C4E79"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Institut ska rapportera detta minus fallerade exponeringar enligt schablonmetoden.</w:t>
            </w:r>
          </w:p>
        </w:tc>
      </w:tr>
      <w:tr w:rsidR="002A54FF" w:rsidRPr="00E75BB8" w14:paraId="54158C66" w14:textId="77777777" w:rsidTr="000B66BC">
        <w:trPr>
          <w:trHeight w:val="71"/>
        </w:trPr>
        <w:tc>
          <w:tcPr>
            <w:tcW w:w="1559" w:type="dxa"/>
            <w:shd w:val="clear" w:color="auto" w:fill="FFFFFF"/>
          </w:tcPr>
          <w:p w14:paraId="081F9849" w14:textId="6C8F2355"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{0300;0020}</w:t>
            </w:r>
          </w:p>
        </w:tc>
        <w:tc>
          <w:tcPr>
            <w:tcW w:w="7406" w:type="dxa"/>
            <w:shd w:val="clear" w:color="auto" w:fill="FFFFFF"/>
          </w:tcPr>
          <w:p w14:paraId="12C4E302" w14:textId="1F965943"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varav: Exponeringar mot värdepapperiseringar – bruttosoliditetsgradens exponeringsvärde – exponeringar enligt internmetod</w:t>
            </w:r>
          </w:p>
          <w:p w14:paraId="52AFEF6A" w14:textId="5CD6F874"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Bruttosoliditetsgradens exponeringsvärde av tillgångar som utgör exponeringar enligt internmetoden mot värdepapperiseringar och som omfattas av artikel </w:t>
            </w:r>
            <w:proofErr w:type="gramStart"/>
            <w:r>
              <w:rPr>
                <w:rFonts w:ascii="Times New Roman" w:hAnsi="Times New Roman"/>
                <w:sz w:val="24"/>
              </w:rPr>
              <w:t>147.2</w:t>
            </w:r>
            <w:proofErr w:type="gramEnd"/>
            <w:r>
              <w:rPr>
                <w:rFonts w:ascii="Times New Roman" w:hAnsi="Times New Roman"/>
                <w:sz w:val="24"/>
              </w:rPr>
              <w:t xml:space="preserve"> f i förordning (EU) nr 575/2013</w:t>
            </w:r>
          </w:p>
          <w:p w14:paraId="5A4CEC64" w14:textId="084E95CE" w:rsidR="002509B1" w:rsidRPr="000B66BC" w:rsidDel="00B9734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Institut ska rapportera detta minus fallerade exponeringar enligt internmetoden.</w:t>
            </w:r>
          </w:p>
        </w:tc>
      </w:tr>
      <w:tr w:rsidR="002A54FF" w:rsidRPr="00E75BB8" w14:paraId="2D8DCA0F" w14:textId="77777777" w:rsidTr="000B66BC">
        <w:trPr>
          <w:trHeight w:val="71"/>
        </w:trPr>
        <w:tc>
          <w:tcPr>
            <w:tcW w:w="1559" w:type="dxa"/>
            <w:shd w:val="clear" w:color="auto" w:fill="FFFFFF"/>
          </w:tcPr>
          <w:p w14:paraId="59B7F740" w14:textId="0030030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{0300;0030}</w:t>
            </w:r>
          </w:p>
        </w:tc>
        <w:tc>
          <w:tcPr>
            <w:tcW w:w="7406" w:type="dxa"/>
            <w:shd w:val="clear" w:color="auto" w:fill="FFFFFF"/>
          </w:tcPr>
          <w:p w14:paraId="0195360F" w14:textId="4CF1300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varav: Exponeringar mot värdepapperiseringar – riskvägt exponeringsbelopp – exponeringar enligt schablonmetoden</w:t>
            </w:r>
          </w:p>
          <w:p w14:paraId="583F2964" w14:textId="3E06746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Riskvägt exponeringsbelopp för tillgångar som utgör exponeringar enligt schablonmetoden mot värdepapperiseringar som omfattas av artikel 112 m i förordning (EU) nr 575/2013</w:t>
            </w:r>
          </w:p>
          <w:p w14:paraId="34AEB620" w14:textId="279486F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schablonmetoden.</w:t>
            </w:r>
          </w:p>
        </w:tc>
      </w:tr>
      <w:tr w:rsidR="002A54FF" w:rsidRPr="00E75BB8" w14:paraId="4AF9EC67" w14:textId="77777777" w:rsidTr="000B66BC">
        <w:trPr>
          <w:trHeight w:val="71"/>
        </w:trPr>
        <w:tc>
          <w:tcPr>
            <w:tcW w:w="1559" w:type="dxa"/>
            <w:shd w:val="clear" w:color="auto" w:fill="FFFFFF"/>
          </w:tcPr>
          <w:p w14:paraId="338D7286" w14:textId="4155BC0C"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{0300;0040}</w:t>
            </w:r>
          </w:p>
        </w:tc>
        <w:tc>
          <w:tcPr>
            <w:tcW w:w="7406" w:type="dxa"/>
            <w:shd w:val="clear" w:color="auto" w:fill="FFFFFF"/>
          </w:tcPr>
          <w:p w14:paraId="546F46AF" w14:textId="111BE03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varav: Exponeringar mot värdepapperiseringar – riskvägt exponeringsbelopp – exponeringar enligt internmetod</w:t>
            </w:r>
          </w:p>
          <w:p w14:paraId="745FCC52" w14:textId="18AD3DD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Riskvägt exponeringsbelopp för tillgångar som utgör exponeringar enligt internmetoden mot värdepapperiseringar och som omfattas av artikel </w:t>
            </w:r>
            <w:proofErr w:type="gramStart"/>
            <w:r>
              <w:rPr>
                <w:rFonts w:ascii="Times New Roman" w:hAnsi="Times New Roman"/>
                <w:sz w:val="24"/>
              </w:rPr>
              <w:t>147.2</w:t>
            </w:r>
            <w:proofErr w:type="gramEnd"/>
            <w:r>
              <w:rPr>
                <w:rFonts w:ascii="Times New Roman" w:hAnsi="Times New Roman"/>
                <w:sz w:val="24"/>
              </w:rPr>
              <w:t xml:space="preserve"> f i förordning (EU) nr 575/2013</w:t>
            </w:r>
          </w:p>
          <w:p w14:paraId="6DCC2024" w14:textId="3E5BF347"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internmetoden.</w:t>
            </w:r>
          </w:p>
        </w:tc>
      </w:tr>
      <w:tr w:rsidR="002A54FF" w:rsidRPr="00E75BB8" w14:paraId="19980126" w14:textId="77777777" w:rsidTr="000B66BC">
        <w:trPr>
          <w:trHeight w:val="71"/>
        </w:trPr>
        <w:tc>
          <w:tcPr>
            <w:tcW w:w="1559" w:type="dxa"/>
            <w:shd w:val="clear" w:color="auto" w:fill="FFFFFF"/>
          </w:tcPr>
          <w:p w14:paraId="70EF17D6" w14:textId="2BA7366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{0310;0010}</w:t>
            </w:r>
          </w:p>
        </w:tc>
        <w:tc>
          <w:tcPr>
            <w:tcW w:w="7406" w:type="dxa"/>
            <w:shd w:val="clear" w:color="auto" w:fill="FFFFFF"/>
          </w:tcPr>
          <w:p w14:paraId="1F726694" w14:textId="75DDDC0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Handelsfinansiering (memorandumpost) – bruttosoliditetsgradens exponeringsvärde – exponeringar enligt schablonmetoden</w:t>
            </w:r>
          </w:p>
          <w:p w14:paraId="40329EE0" w14:textId="6890CB13"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Bruttosoliditetsgradens exponeringsvärde av poster inom balansräkningen avseende lån till en exportör eller importör av varor eller tjänster genom import- och exportkrediter samt liknande transaktioner</w:t>
            </w:r>
          </w:p>
          <w:p w14:paraId="07887909" w14:textId="376C2A24"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Institut ska rapportera detta minus fallerade exponeringar enligt schablonmetoden.</w:t>
            </w:r>
          </w:p>
        </w:tc>
      </w:tr>
      <w:tr w:rsidR="002A54FF" w:rsidRPr="00E75BB8" w14:paraId="7849841B" w14:textId="77777777" w:rsidTr="000B66BC">
        <w:trPr>
          <w:trHeight w:val="71"/>
        </w:trPr>
        <w:tc>
          <w:tcPr>
            <w:tcW w:w="1559" w:type="dxa"/>
            <w:shd w:val="clear" w:color="auto" w:fill="FFFFFF"/>
          </w:tcPr>
          <w:p w14:paraId="7770CF17" w14:textId="209AA225"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{0310;0020}</w:t>
            </w:r>
          </w:p>
        </w:tc>
        <w:tc>
          <w:tcPr>
            <w:tcW w:w="7406" w:type="dxa"/>
            <w:shd w:val="clear" w:color="auto" w:fill="FFFFFF"/>
          </w:tcPr>
          <w:p w14:paraId="3DC59FB7" w14:textId="38AD74C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Handelsfinansiering (memorandumpost) – bruttosoliditetsgradens exponeringsvärde – exponeringar enligt internmetod</w:t>
            </w:r>
          </w:p>
          <w:p w14:paraId="0A442979" w14:textId="3B301CAB"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Bruttosoliditetsgradens exponeringsbelopp av poster inom balansräkningen avseende lån till en exportör eller importör av varor eller tjänster genom import- och exportkrediter samt liknande transaktioner</w:t>
            </w:r>
          </w:p>
          <w:p w14:paraId="009892EF" w14:textId="4CD440BB"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Institut ska rapportera detta minus fallerade exponeringar enligt internmetoden.</w:t>
            </w:r>
          </w:p>
        </w:tc>
      </w:tr>
      <w:tr w:rsidR="002A54FF" w:rsidRPr="00E75BB8" w14:paraId="0944BE23" w14:textId="77777777" w:rsidTr="000B66BC">
        <w:trPr>
          <w:trHeight w:val="71"/>
        </w:trPr>
        <w:tc>
          <w:tcPr>
            <w:tcW w:w="1559" w:type="dxa"/>
            <w:shd w:val="clear" w:color="auto" w:fill="FFFFFF"/>
          </w:tcPr>
          <w:p w14:paraId="375E033C" w14:textId="2994690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{0310;0030}</w:t>
            </w:r>
          </w:p>
        </w:tc>
        <w:tc>
          <w:tcPr>
            <w:tcW w:w="7406" w:type="dxa"/>
            <w:shd w:val="clear" w:color="auto" w:fill="FFFFFF"/>
          </w:tcPr>
          <w:p w14:paraId="2CAEEABE" w14:textId="362B2A0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Handelsfinansiering (memorandumpost) – riskvägt exponeringsbelopp – exponeringar enligt schablonmetoden</w:t>
            </w:r>
          </w:p>
          <w:p w14:paraId="08DFF23E" w14:textId="3FC8943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Det riskvägda exponeringsvärdet av poster inom balansräkningen avseende lån till en exportör eller importör av varor eller tjänster genom import- och exportkrediter samt liknande transaktioner</w:t>
            </w:r>
          </w:p>
          <w:p w14:paraId="1392FEC6" w14:textId="0CEA5EB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schablonmetoden.</w:t>
            </w:r>
          </w:p>
        </w:tc>
      </w:tr>
      <w:tr w:rsidR="002A54FF" w:rsidRPr="00E75BB8" w14:paraId="2EAEC41E" w14:textId="77777777" w:rsidTr="000B66BC">
        <w:trPr>
          <w:trHeight w:val="71"/>
        </w:trPr>
        <w:tc>
          <w:tcPr>
            <w:tcW w:w="1559" w:type="dxa"/>
            <w:shd w:val="clear" w:color="auto" w:fill="FFFFFF"/>
          </w:tcPr>
          <w:p w14:paraId="2D3EEDC7" w14:textId="50ACD0A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{0310;0040}</w:t>
            </w:r>
          </w:p>
        </w:tc>
        <w:tc>
          <w:tcPr>
            <w:tcW w:w="7406" w:type="dxa"/>
            <w:shd w:val="clear" w:color="auto" w:fill="FFFFFF"/>
          </w:tcPr>
          <w:p w14:paraId="6234B372" w14:textId="0FE9A0F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Handelsfinansiering (memorandumpost) – riskvägt exponeringsbelopp – exponeringar enligt internmetod</w:t>
            </w:r>
          </w:p>
          <w:p w14:paraId="7C41D05F" w14:textId="163F70F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Det riskvägda exponeringsbeloppet för poster inom balansräkningen avseende lån till en exportör eller importör av varor eller tjänster genom import- och exportkrediter samt liknande transaktioner</w:t>
            </w:r>
          </w:p>
          <w:p w14:paraId="69D1BF8F" w14:textId="1ADC695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internmetoden.</w:t>
            </w:r>
          </w:p>
        </w:tc>
      </w:tr>
      <w:tr w:rsidR="002A54FF" w:rsidRPr="00E75BB8" w14:paraId="0F47267B" w14:textId="77777777" w:rsidTr="000B66BC">
        <w:trPr>
          <w:trHeight w:val="71"/>
        </w:trPr>
        <w:tc>
          <w:tcPr>
            <w:tcW w:w="1559" w:type="dxa"/>
            <w:shd w:val="clear" w:color="auto" w:fill="FFFFFF"/>
          </w:tcPr>
          <w:p w14:paraId="01A66D59" w14:textId="16BAA6D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{0320;0010}</w:t>
            </w:r>
          </w:p>
        </w:tc>
        <w:tc>
          <w:tcPr>
            <w:tcW w:w="7406" w:type="dxa"/>
            <w:shd w:val="clear" w:color="auto" w:fill="FFFFFF"/>
          </w:tcPr>
          <w:p w14:paraId="68BD9684" w14:textId="77777777"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varav: Inom ramen för ett offentligt exportkreditförsäkringssystem – bruttosoliditetsgradens exponeringsvärde – exponeringar enligt schablonmetoden</w:t>
            </w:r>
          </w:p>
          <w:p w14:paraId="77C2AA79" w14:textId="008650ED"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Bruttosoliditetsgradens exponeringsvärde av poster inom balansräkningen avseende handelsfinansiering inom ramen för ett offentligt exportkreditförsäkringssystem</w:t>
            </w:r>
          </w:p>
          <w:p w14:paraId="724169CB" w14:textId="4B72375C"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När det gäller rapportering i LR4 ska ett offentligt exportkreditförsäkringssystem ge offentligt stöd från regeringen eller annan myndighet, </w:t>
            </w:r>
            <w:proofErr w:type="gramStart"/>
            <w:r>
              <w:rPr>
                <w:rFonts w:ascii="Times New Roman" w:hAnsi="Times New Roman"/>
                <w:sz w:val="24"/>
              </w:rPr>
              <w:t>t.ex.</w:t>
            </w:r>
            <w:proofErr w:type="gramEnd"/>
            <w:r>
              <w:rPr>
                <w:rFonts w:ascii="Times New Roman" w:hAnsi="Times New Roman"/>
                <w:sz w:val="24"/>
              </w:rPr>
              <w:t xml:space="preserve"> ett exportkreditorgan, i form av bland annat direkt kredit/finansiering, refinansiering, räntestöd (där en fast ränta garanteras under hela kreditlängden), stödfinansiering (krediter och gåvobistånd), exportkreditförsäkring och garantier. </w:t>
            </w:r>
          </w:p>
          <w:p w14:paraId="6749A4E0" w14:textId="3BDB38A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Institut ska rapportera detta minus fallerade exponeringar enligt schablonmetoden.</w:t>
            </w:r>
          </w:p>
        </w:tc>
      </w:tr>
      <w:tr w:rsidR="002A54FF" w:rsidRPr="00E75BB8" w14:paraId="324D0C14" w14:textId="77777777" w:rsidTr="000B66BC">
        <w:trPr>
          <w:trHeight w:val="71"/>
        </w:trPr>
        <w:tc>
          <w:tcPr>
            <w:tcW w:w="1559" w:type="dxa"/>
            <w:shd w:val="clear" w:color="auto" w:fill="FFFFFF"/>
          </w:tcPr>
          <w:p w14:paraId="379BEEE3" w14:textId="251ACAEF"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{0320;0020}</w:t>
            </w:r>
          </w:p>
        </w:tc>
        <w:tc>
          <w:tcPr>
            <w:tcW w:w="7406" w:type="dxa"/>
            <w:shd w:val="clear" w:color="auto" w:fill="FFFFFF"/>
          </w:tcPr>
          <w:p w14:paraId="487C59EC" w14:textId="64199DCF"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varav: Inom ramen för ett offentligt exportkreditförsäkringssystem – bruttosoliditetsgradens exponeringsvärde – exponeringar enligt internmetod</w:t>
            </w:r>
          </w:p>
          <w:p w14:paraId="28C477A6" w14:textId="45C80184"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Bruttosoliditetsgradens exponeringsbelopp av poster inom balansräkningen avseende handelsfinansiering enligt ett offentligt exportkreditförsäkringssystem </w:t>
            </w:r>
          </w:p>
          <w:p w14:paraId="453591E6" w14:textId="24EEED56"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När det gäller rapportering i LR4 ska ett offentligt exportkreditförsäkringssystem ge offentligt stöd från regeringen eller annan myndighet, </w:t>
            </w:r>
            <w:proofErr w:type="gramStart"/>
            <w:r>
              <w:rPr>
                <w:rFonts w:ascii="Times New Roman" w:hAnsi="Times New Roman"/>
                <w:sz w:val="24"/>
              </w:rPr>
              <w:t>t.ex.</w:t>
            </w:r>
            <w:proofErr w:type="gramEnd"/>
            <w:r>
              <w:rPr>
                <w:rFonts w:ascii="Times New Roman" w:hAnsi="Times New Roman"/>
                <w:sz w:val="24"/>
              </w:rPr>
              <w:t xml:space="preserve"> ett exportkreditorgan, i form av bland annat direkt kredit/finansiering, refinansiering, räntestöd (där en fast ränta garanteras under hela kreditlängden), stödfinansiering (krediter och gåvobistånd), exportkreditförsäkring och garantier.</w:t>
            </w:r>
          </w:p>
          <w:p w14:paraId="121B09A0" w14:textId="7D13C18C" w:rsidR="002509B1" w:rsidRPr="000B66BC" w:rsidDel="00600AB1"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internmetoden.</w:t>
            </w:r>
          </w:p>
        </w:tc>
      </w:tr>
      <w:tr w:rsidR="002A54FF" w:rsidRPr="00E75BB8" w14:paraId="5958CABD" w14:textId="77777777" w:rsidTr="000B66BC">
        <w:trPr>
          <w:trHeight w:val="71"/>
        </w:trPr>
        <w:tc>
          <w:tcPr>
            <w:tcW w:w="1559" w:type="dxa"/>
            <w:shd w:val="clear" w:color="auto" w:fill="FFFFFF"/>
          </w:tcPr>
          <w:p w14:paraId="50D523A5" w14:textId="2D5719F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{0320;0030}</w:t>
            </w:r>
          </w:p>
        </w:tc>
        <w:tc>
          <w:tcPr>
            <w:tcW w:w="7406" w:type="dxa"/>
            <w:shd w:val="clear" w:color="auto" w:fill="FFFFFF"/>
          </w:tcPr>
          <w:p w14:paraId="1BC55C9E" w14:textId="018B97B0"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varav: Inom ramen för ett offentligt exportkreditförsäkringssystem – riskvägt exponeringsbelopp – exponeringar enligt schablonmetoden</w:t>
            </w:r>
          </w:p>
          <w:p w14:paraId="5BDA0B92" w14:textId="79F518BC"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Det riskvägda exponeringsvärdet av poster inom balansräkningen avseende handelsfinansiering enligt ett offentligt exportkreditförsäkringssystem </w:t>
            </w:r>
          </w:p>
          <w:p w14:paraId="04A05DE3" w14:textId="09DF700B"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När det gäller rapportering i LR4 ska ett offentligt exportkreditförsäkringssystem ge offentligt stöd från regeringen eller annan myndighet, </w:t>
            </w:r>
            <w:proofErr w:type="gramStart"/>
            <w:r>
              <w:rPr>
                <w:rFonts w:ascii="Times New Roman" w:hAnsi="Times New Roman"/>
                <w:sz w:val="24"/>
              </w:rPr>
              <w:t>t.ex.</w:t>
            </w:r>
            <w:proofErr w:type="gramEnd"/>
            <w:r>
              <w:rPr>
                <w:rFonts w:ascii="Times New Roman" w:hAnsi="Times New Roman"/>
                <w:sz w:val="24"/>
              </w:rPr>
              <w:t xml:space="preserve"> ett exportkreditorgan, i form av bland annat direkt kredit/finansiering, refinansiering, räntestöd (där en fast ränta garanteras under hela kreditlängden), stödfinansiering (krediter och gåvobistånd), exportkreditförsäkring och garantier. </w:t>
            </w:r>
          </w:p>
          <w:p w14:paraId="4F35ADC9" w14:textId="4AC2CE5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 ska rapportera detta minus fallerade exponeringar enligt schablonmetoden.</w:t>
            </w:r>
          </w:p>
        </w:tc>
      </w:tr>
      <w:tr w:rsidR="002A54FF" w:rsidRPr="00E75BB8" w14:paraId="50DFFA63" w14:textId="77777777" w:rsidTr="000B66BC">
        <w:trPr>
          <w:trHeight w:val="71"/>
        </w:trPr>
        <w:tc>
          <w:tcPr>
            <w:tcW w:w="1559" w:type="dxa"/>
            <w:shd w:val="clear" w:color="auto" w:fill="FFFFFF"/>
          </w:tcPr>
          <w:p w14:paraId="3E66A2E1" w14:textId="52C5C76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{0320;0040}</w:t>
            </w:r>
          </w:p>
        </w:tc>
        <w:tc>
          <w:tcPr>
            <w:tcW w:w="7406" w:type="dxa"/>
            <w:shd w:val="clear" w:color="auto" w:fill="FFFFFF"/>
          </w:tcPr>
          <w:p w14:paraId="02837300" w14:textId="087FB5C1"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varav: Exponeringar inom ramen för ett offentligt exportkreditförsäkringssystem – riskvägt exponeringsbelopp – exponeringar enligt internmetod</w:t>
            </w:r>
          </w:p>
          <w:p w14:paraId="7E51B295" w14:textId="2E71FA87"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Det riskvägda exponeringsbeloppet för poster inom balansräkningen avseende handelsfinansiering enligt ett offentligt exportkreditförsäkringssystem </w:t>
            </w:r>
          </w:p>
          <w:p w14:paraId="22173B42" w14:textId="69585F6C"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När det gäller rapportering i LR4 ska ett offentligt exportkreditförsäkringssystem ge offentligt stöd från regeringen eller annan myndighet, </w:t>
            </w:r>
            <w:proofErr w:type="gramStart"/>
            <w:r>
              <w:rPr>
                <w:rFonts w:ascii="Times New Roman" w:hAnsi="Times New Roman"/>
                <w:sz w:val="24"/>
              </w:rPr>
              <w:t>t.ex.</w:t>
            </w:r>
            <w:proofErr w:type="gramEnd"/>
            <w:r>
              <w:rPr>
                <w:rFonts w:ascii="Times New Roman" w:hAnsi="Times New Roman"/>
                <w:sz w:val="24"/>
              </w:rPr>
              <w:t xml:space="preserve"> ett exportkreditorgan, i form av bland annat direkt kredit/finansiering, refinansiering, räntestöd (där en fast ränta garanteras under hela kreditlängden), stödfinansiering (krediter och gåvobistånd), exportkreditförsäkring och garantier. </w:t>
            </w:r>
          </w:p>
          <w:p w14:paraId="16D3A7FB" w14:textId="65A4E59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Institut ska rapportera detta minus fallerade exponeringar enligt internmetoden.</w:t>
            </w:r>
          </w:p>
        </w:tc>
      </w:tr>
    </w:tbl>
    <w:p w14:paraId="6F5938BB" w14:textId="71A3874E" w:rsidR="004C0459" w:rsidRPr="000B66BC" w:rsidRDefault="004C0459" w:rsidP="000B66BC">
      <w:pPr>
        <w:pStyle w:val="BodyText1"/>
        <w:spacing w:after="240"/>
        <w:ind w:left="720"/>
        <w:rPr>
          <w:rFonts w:ascii="Times New Roman" w:hAnsi="Times New Roman"/>
          <w:b/>
          <w:sz w:val="24"/>
          <w:szCs w:val="24"/>
        </w:rPr>
      </w:pPr>
      <w:bookmarkStart w:id="74" w:name="_Toc351048511"/>
      <w:bookmarkStart w:id="75" w:name="_Toc359414290"/>
      <w:bookmarkStart w:id="76" w:name="_Toc423089075"/>
      <w:bookmarkEnd w:id="72"/>
    </w:p>
    <w:p w14:paraId="3B957644" w14:textId="7AA08C09" w:rsidR="00217D1F" w:rsidRPr="000B66BC" w:rsidRDefault="005F4574" w:rsidP="000B66BC">
      <w:pPr>
        <w:pStyle w:val="BodyText1"/>
        <w:spacing w:after="240"/>
        <w:ind w:left="357" w:hanging="357"/>
        <w:outlineLvl w:val="1"/>
        <w:rPr>
          <w:rFonts w:ascii="Times New Roman" w:hAnsi="Times New Roman"/>
          <w:b/>
          <w:sz w:val="24"/>
          <w:szCs w:val="24"/>
        </w:rPr>
      </w:pPr>
      <w:bookmarkStart w:id="77" w:name="_Toc188450106"/>
      <w:r>
        <w:rPr>
          <w:rFonts w:ascii="Times New Roman" w:hAnsi="Times New Roman"/>
          <w:b/>
          <w:sz w:val="24"/>
        </w:rPr>
        <w:t>6.</w:t>
      </w:r>
      <w:r>
        <w:rPr>
          <w:rFonts w:ascii="Times New Roman" w:hAnsi="Times New Roman"/>
          <w:b/>
          <w:sz w:val="24"/>
        </w:rPr>
        <w:tab/>
        <w:t>C 44.00 – Allmänna uppgifter</w:t>
      </w:r>
      <w:bookmarkEnd w:id="74"/>
      <w:bookmarkEnd w:id="75"/>
      <w:r>
        <w:rPr>
          <w:rFonts w:ascii="Times New Roman" w:hAnsi="Times New Roman"/>
          <w:b/>
          <w:sz w:val="24"/>
        </w:rPr>
        <w:t xml:space="preserve"> (LR5)</w:t>
      </w:r>
      <w:bookmarkEnd w:id="76"/>
      <w:bookmarkEnd w:id="77"/>
    </w:p>
    <w:p w14:paraId="0762DA75" w14:textId="1CF4EE9B" w:rsidR="00F4754B"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28.</w:t>
      </w:r>
      <w:r>
        <w:rPr>
          <w:rFonts w:ascii="Times New Roman" w:hAnsi="Times New Roman"/>
          <w:sz w:val="24"/>
        </w:rPr>
        <w:tab/>
        <w:t>Här ska ytterligare information anges för att man ska kunna klassificera institutets verksamhet och de regulatoriska alternativ som institutet valt.</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E75BB8" w14:paraId="01020A4D" w14:textId="77777777" w:rsidTr="000B66BC">
        <w:tc>
          <w:tcPr>
            <w:tcW w:w="1730" w:type="dxa"/>
            <w:shd w:val="clear" w:color="auto" w:fill="D9D9D9" w:themeFill="background1" w:themeFillShade="D9"/>
          </w:tcPr>
          <w:p w14:paraId="609E7AEC" w14:textId="77777777"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rPr>
              <w:t xml:space="preserve">Rad </w:t>
            </w:r>
          </w:p>
          <w:p w14:paraId="3ADE932A"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rPr>
              <w:t>och kolumn</w:t>
            </w:r>
          </w:p>
        </w:tc>
        <w:tc>
          <w:tcPr>
            <w:tcW w:w="7308" w:type="dxa"/>
            <w:shd w:val="clear" w:color="auto" w:fill="D9D9D9" w:themeFill="background1" w:themeFillShade="D9"/>
          </w:tcPr>
          <w:p w14:paraId="07C08D86"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rPr>
              <w:t>Instruktioner</w:t>
            </w:r>
          </w:p>
        </w:tc>
      </w:tr>
      <w:tr w:rsidR="00F4754B" w:rsidRPr="00E75BB8" w14:paraId="55A6FD39" w14:textId="77777777" w:rsidTr="000B66BC">
        <w:tc>
          <w:tcPr>
            <w:tcW w:w="1730" w:type="dxa"/>
          </w:tcPr>
          <w:p w14:paraId="4651DD6D" w14:textId="2C8898E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{0010;0010}</w:t>
            </w:r>
          </w:p>
        </w:tc>
        <w:tc>
          <w:tcPr>
            <w:tcW w:w="7308" w:type="dxa"/>
          </w:tcPr>
          <w:p w14:paraId="4DA873F1"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Institutets företagsstruktur</w:t>
            </w:r>
          </w:p>
          <w:p w14:paraId="64CCC795"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Institutet ska ange sin företagsstruktur med hjälp av följande alternativ:</w:t>
            </w:r>
          </w:p>
          <w:p w14:paraId="1F1192E5"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Aktiebolag.</w:t>
            </w:r>
          </w:p>
          <w:p w14:paraId="003D2706"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Ömsesidigt bolag/kooperativ.</w:t>
            </w:r>
          </w:p>
          <w:p w14:paraId="6192BE9A" w14:textId="31FF6E20"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Annan typ av företag än aktiebolag.</w:t>
            </w:r>
          </w:p>
        </w:tc>
      </w:tr>
      <w:tr w:rsidR="00F4754B" w:rsidRPr="00E75BB8" w14:paraId="0E805489" w14:textId="77777777" w:rsidTr="000B66BC">
        <w:tc>
          <w:tcPr>
            <w:tcW w:w="1730" w:type="dxa"/>
          </w:tcPr>
          <w:p w14:paraId="024D6767" w14:textId="451206B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{0020;0010}</w:t>
            </w:r>
          </w:p>
        </w:tc>
        <w:tc>
          <w:tcPr>
            <w:tcW w:w="7308" w:type="dxa"/>
          </w:tcPr>
          <w:p w14:paraId="6E8478E9"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Behandling av derivat</w:t>
            </w:r>
          </w:p>
          <w:p w14:paraId="32814C5E"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Institutet ska specificera den regulatoriska behandlingen av derivat utifrån följande kategorier:</w:t>
            </w:r>
          </w:p>
          <w:p w14:paraId="255B888B" w14:textId="0A6301B4"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sz w:val="24"/>
              </w:rPr>
              <w:t>-   Schablonmetod för motpartskreditrisk (SA-CCR).</w:t>
            </w:r>
          </w:p>
          <w:p w14:paraId="43920088" w14:textId="66D48971"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sz w:val="24"/>
              </w:rPr>
              <w:t>-   Förenklad schablonmetod för motpartskreditrisk.</w:t>
            </w:r>
          </w:p>
          <w:p w14:paraId="7A9DB046" w14:textId="7690E86C"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Ursprunglig åtagandemetod.</w:t>
            </w:r>
          </w:p>
        </w:tc>
      </w:tr>
      <w:tr w:rsidR="00F4754B" w:rsidRPr="00E75BB8" w14:paraId="0E0C8448" w14:textId="77777777" w:rsidTr="000B66BC">
        <w:tc>
          <w:tcPr>
            <w:tcW w:w="1730" w:type="dxa"/>
          </w:tcPr>
          <w:p w14:paraId="6C37BCD8" w14:textId="7BBC71D1"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{0040;0010}</w:t>
            </w:r>
          </w:p>
        </w:tc>
        <w:tc>
          <w:tcPr>
            <w:tcW w:w="7308" w:type="dxa"/>
          </w:tcPr>
          <w:p w14:paraId="3154A9B3"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Institutstyp</w:t>
            </w:r>
          </w:p>
          <w:p w14:paraId="2C15E916"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Institutet ska ange sin institutstyp utifrån följande kategorier:</w:t>
            </w:r>
          </w:p>
          <w:p w14:paraId="5F9BB21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 xml:space="preserve">Universella banktjänster (banktjänster till privatpersoner/företag och </w:t>
            </w:r>
            <w:proofErr w:type="spellStart"/>
            <w:r>
              <w:rPr>
                <w:rFonts w:ascii="Times New Roman" w:hAnsi="Times New Roman"/>
                <w:sz w:val="24"/>
              </w:rPr>
              <w:t>investmentbanktjänster</w:t>
            </w:r>
            <w:proofErr w:type="spellEnd"/>
            <w:r>
              <w:rPr>
                <w:rFonts w:ascii="Times New Roman" w:hAnsi="Times New Roman"/>
                <w:sz w:val="24"/>
              </w:rPr>
              <w:t>).</w:t>
            </w:r>
          </w:p>
          <w:p w14:paraId="730C89B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Banktjänster till privatpersoner/företag.</w:t>
            </w:r>
          </w:p>
          <w:p w14:paraId="430C8F32"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Investmentbanktjänster.</w:t>
            </w:r>
          </w:p>
          <w:p w14:paraId="53DE36EC" w14:textId="5929A7F1" w:rsidR="00875832"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Specialutlåningstjänster.</w:t>
            </w:r>
          </w:p>
          <w:p w14:paraId="5E1BA609" w14:textId="431EB72A" w:rsidR="005D66B3" w:rsidRPr="000B66BC" w:rsidRDefault="00546848" w:rsidP="000B66BC">
            <w:pPr>
              <w:pStyle w:val="BodyText1"/>
              <w:spacing w:after="240" w:line="240" w:lineRule="auto"/>
              <w:ind w:left="360" w:hanging="360"/>
              <w:rPr>
                <w:rFonts w:ascii="Times New Roman" w:hAnsi="Times New Roman"/>
                <w:color w:val="auto"/>
                <w:sz w:val="24"/>
                <w:szCs w:val="24"/>
              </w:rPr>
            </w:pPr>
            <w:r>
              <w:rPr>
                <w:rFonts w:ascii="Times New Roman" w:hAnsi="Times New Roman"/>
                <w:sz w:val="24"/>
              </w:rPr>
              <w:t xml:space="preserve">-  Offentliga </w:t>
            </w:r>
            <w:r>
              <w:rPr>
                <w:rFonts w:ascii="Times New Roman" w:hAnsi="Times New Roman"/>
                <w:color w:val="auto"/>
                <w:sz w:val="24"/>
              </w:rPr>
              <w:t>utvecklingskreditinstitut.</w:t>
            </w:r>
          </w:p>
          <w:p w14:paraId="55C552F6" w14:textId="725A2101" w:rsidR="00BE6AC4" w:rsidRPr="000B66BC" w:rsidRDefault="00875832"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Andra affärsmodeller.</w:t>
            </w:r>
          </w:p>
        </w:tc>
      </w:tr>
      <w:tr w:rsidR="006316AD" w:rsidRPr="00E75BB8" w14:paraId="46E27CC1" w14:textId="77777777" w:rsidTr="000B66BC">
        <w:tc>
          <w:tcPr>
            <w:tcW w:w="1730" w:type="dxa"/>
          </w:tcPr>
          <w:p w14:paraId="113B7AA0" w14:textId="48CFB31B" w:rsidR="006316AD" w:rsidRPr="000B66BC" w:rsidRDefault="006316AD" w:rsidP="000B66BC">
            <w:pPr>
              <w:pStyle w:val="BodyText1"/>
              <w:spacing w:after="240"/>
              <w:rPr>
                <w:rFonts w:ascii="Times New Roman" w:hAnsi="Times New Roman"/>
                <w:bCs/>
                <w:sz w:val="24"/>
                <w:szCs w:val="24"/>
              </w:rPr>
            </w:pPr>
            <w:r>
              <w:rPr>
                <w:rFonts w:ascii="Times New Roman" w:hAnsi="Times New Roman"/>
                <w:sz w:val="24"/>
              </w:rPr>
              <w:lastRenderedPageBreak/>
              <w:t>{0070;0010}</w:t>
            </w:r>
          </w:p>
        </w:tc>
        <w:tc>
          <w:tcPr>
            <w:tcW w:w="7308" w:type="dxa"/>
          </w:tcPr>
          <w:p w14:paraId="31DC1601" w14:textId="77777777" w:rsidR="006316AD" w:rsidRPr="000B66BC" w:rsidRDefault="006316AD" w:rsidP="000B66BC">
            <w:pPr>
              <w:pStyle w:val="BodyText1"/>
              <w:spacing w:after="240" w:line="240" w:lineRule="auto"/>
              <w:rPr>
                <w:rFonts w:ascii="Times New Roman" w:hAnsi="Times New Roman"/>
                <w:b/>
                <w:bCs/>
                <w:sz w:val="24"/>
                <w:szCs w:val="24"/>
              </w:rPr>
            </w:pPr>
            <w:r>
              <w:rPr>
                <w:rFonts w:ascii="Times New Roman" w:hAnsi="Times New Roman"/>
                <w:b/>
                <w:sz w:val="24"/>
              </w:rPr>
              <w:t>Institut med en offentlig utvecklingsenhet</w:t>
            </w:r>
          </w:p>
          <w:p w14:paraId="6D39363C" w14:textId="06B12418" w:rsidR="006316AD" w:rsidRPr="000B66BC" w:rsidRDefault="006316AD" w:rsidP="000B66BC">
            <w:pPr>
              <w:pStyle w:val="BodyText1"/>
              <w:spacing w:after="240" w:line="240" w:lineRule="auto"/>
              <w:rPr>
                <w:rFonts w:ascii="Times New Roman" w:hAnsi="Times New Roman"/>
                <w:bCs/>
                <w:sz w:val="24"/>
                <w:szCs w:val="24"/>
              </w:rPr>
            </w:pPr>
            <w:r>
              <w:rPr>
                <w:rFonts w:ascii="Times New Roman" w:hAnsi="Times New Roman"/>
                <w:sz w:val="24"/>
              </w:rPr>
              <w:t>Institut som inte är offentliga utvecklingskreditinstitut ska ange om de har en offentlig utvecklingsenhet.</w:t>
            </w:r>
          </w:p>
        </w:tc>
      </w:tr>
      <w:tr w:rsidR="003A13D1" w:rsidRPr="00E75BB8" w14:paraId="2CDC3E13" w14:textId="77777777" w:rsidTr="000B66BC">
        <w:tc>
          <w:tcPr>
            <w:tcW w:w="1730" w:type="dxa"/>
          </w:tcPr>
          <w:p w14:paraId="79D8D3BF" w14:textId="5989EBFA" w:rsidR="003A13D1" w:rsidRPr="000B66BC" w:rsidRDefault="003A13D1" w:rsidP="000B66BC">
            <w:pPr>
              <w:pStyle w:val="BodyText1"/>
              <w:spacing w:after="240"/>
              <w:rPr>
                <w:rFonts w:ascii="Times New Roman" w:hAnsi="Times New Roman"/>
                <w:bCs/>
                <w:sz w:val="24"/>
                <w:szCs w:val="24"/>
              </w:rPr>
            </w:pPr>
            <w:r>
              <w:rPr>
                <w:rFonts w:ascii="Times New Roman" w:hAnsi="Times New Roman"/>
                <w:sz w:val="24"/>
              </w:rPr>
              <w:t>{0080;0010},</w:t>
            </w:r>
          </w:p>
          <w:p w14:paraId="0E404C36" w14:textId="3C546BDB" w:rsidR="003A13D1" w:rsidRPr="000B66BC" w:rsidRDefault="003A13D1" w:rsidP="000B66BC">
            <w:pPr>
              <w:pStyle w:val="BodyText1"/>
              <w:spacing w:after="240"/>
              <w:rPr>
                <w:rFonts w:ascii="Times New Roman" w:hAnsi="Times New Roman"/>
                <w:bCs/>
                <w:sz w:val="24"/>
                <w:szCs w:val="24"/>
              </w:rPr>
            </w:pPr>
            <w:r>
              <w:rPr>
                <w:rFonts w:ascii="Times New Roman" w:hAnsi="Times New Roman"/>
                <w:sz w:val="24"/>
              </w:rPr>
              <w:t>{00090;0010},</w:t>
            </w:r>
          </w:p>
          <w:p w14:paraId="53B876FA" w14:textId="06E5D9AE" w:rsidR="003A13D1" w:rsidRPr="000B66BC" w:rsidRDefault="003A13D1" w:rsidP="000B66BC">
            <w:pPr>
              <w:pStyle w:val="BodyText1"/>
              <w:spacing w:after="240"/>
              <w:rPr>
                <w:rFonts w:ascii="Times New Roman" w:hAnsi="Times New Roman"/>
                <w:bCs/>
                <w:sz w:val="24"/>
                <w:szCs w:val="24"/>
              </w:rPr>
            </w:pPr>
            <w:r>
              <w:rPr>
                <w:rFonts w:ascii="Times New Roman" w:hAnsi="Times New Roman"/>
                <w:sz w:val="24"/>
              </w:rPr>
              <w:t>{0100;0010}</w:t>
            </w:r>
          </w:p>
        </w:tc>
        <w:tc>
          <w:tcPr>
            <w:tcW w:w="7308" w:type="dxa"/>
          </w:tcPr>
          <w:p w14:paraId="66B939F9" w14:textId="6084E1B7" w:rsidR="003A13D1" w:rsidRPr="000B66BC" w:rsidRDefault="003A13D1" w:rsidP="000B66BC">
            <w:pPr>
              <w:pStyle w:val="BodyText1"/>
              <w:spacing w:after="240" w:line="240" w:lineRule="auto"/>
              <w:rPr>
                <w:rFonts w:ascii="Times New Roman" w:hAnsi="Times New Roman"/>
                <w:b/>
                <w:bCs/>
                <w:sz w:val="24"/>
                <w:szCs w:val="24"/>
              </w:rPr>
            </w:pPr>
            <w:r>
              <w:rPr>
                <w:rFonts w:ascii="Times New Roman" w:hAnsi="Times New Roman"/>
                <w:b/>
                <w:sz w:val="24"/>
              </w:rPr>
              <w:t>Enhet som garanterar det offentliga utvecklingskreditinstitutet/den offentliga utvecklingsenheten i enlighet med artikel 429a.2 d i CRR: nationell regering, regionalt självstyrelseorgan eller lokalt självstyrelseorgan</w:t>
            </w:r>
          </w:p>
          <w:p w14:paraId="5D4C6A0E" w14:textId="404D2BB3" w:rsidR="00092325" w:rsidRPr="000B66BC" w:rsidRDefault="00092325" w:rsidP="000B66BC">
            <w:pPr>
              <w:pStyle w:val="BodyText1"/>
              <w:spacing w:after="240" w:line="240" w:lineRule="auto"/>
              <w:rPr>
                <w:rFonts w:ascii="Times New Roman" w:hAnsi="Times New Roman"/>
                <w:bCs/>
                <w:sz w:val="24"/>
                <w:szCs w:val="24"/>
              </w:rPr>
            </w:pPr>
            <w:r>
              <w:rPr>
                <w:rFonts w:ascii="Times New Roman" w:hAnsi="Times New Roman"/>
                <w:sz w:val="24"/>
              </w:rPr>
              <w:t>Institut som antingen är ett offentligt utvecklingskreditinstitut eller har en offentlig utvecklingsenhet ska rapportera om huruvida de garanteras av en nationell regering eller delstatliga eller lokala självstyrelseorgan och myndigheter</w:t>
            </w:r>
          </w:p>
          <w:p w14:paraId="493FBA55" w14:textId="6B923AA1" w:rsidR="003B054D" w:rsidRPr="000B66BC" w:rsidRDefault="00092325" w:rsidP="000B66BC">
            <w:pPr>
              <w:pStyle w:val="BodyText1"/>
              <w:spacing w:after="240" w:line="240" w:lineRule="auto"/>
              <w:rPr>
                <w:rFonts w:ascii="Times New Roman" w:hAnsi="Times New Roman"/>
                <w:b/>
                <w:bCs/>
                <w:sz w:val="24"/>
                <w:szCs w:val="24"/>
              </w:rPr>
            </w:pPr>
            <w:r>
              <w:rPr>
                <w:rFonts w:ascii="Times New Roman" w:hAnsi="Times New Roman"/>
                <w:sz w:val="24"/>
              </w:rPr>
              <w:t>Instituten ska ange ”SANT” i den rad som motsvarar den typ av utfärdare av skydd som är tillämplig, i annat fall ”FALSKT”.</w:t>
            </w:r>
          </w:p>
        </w:tc>
      </w:tr>
      <w:tr w:rsidR="00872B4A" w:rsidRPr="00E75BB8" w14:paraId="7B661A02" w14:textId="77777777" w:rsidTr="000B66BC">
        <w:tc>
          <w:tcPr>
            <w:tcW w:w="1730" w:type="dxa"/>
          </w:tcPr>
          <w:p w14:paraId="184627A9" w14:textId="01E80B34" w:rsidR="00872B4A" w:rsidRPr="000B66BC" w:rsidRDefault="008551A7" w:rsidP="000B66BC">
            <w:pPr>
              <w:pStyle w:val="BodyText1"/>
              <w:spacing w:after="240"/>
              <w:rPr>
                <w:rFonts w:ascii="Times New Roman" w:hAnsi="Times New Roman"/>
                <w:bCs/>
                <w:sz w:val="24"/>
                <w:szCs w:val="24"/>
              </w:rPr>
            </w:pPr>
            <w:r>
              <w:rPr>
                <w:rFonts w:ascii="Times New Roman" w:hAnsi="Times New Roman"/>
                <w:sz w:val="24"/>
              </w:rPr>
              <w:t>{0080;0010}</w:t>
            </w:r>
          </w:p>
        </w:tc>
        <w:tc>
          <w:tcPr>
            <w:tcW w:w="7308" w:type="dxa"/>
          </w:tcPr>
          <w:p w14:paraId="763F7485" w14:textId="7D0968A1" w:rsidR="00B04A5F" w:rsidRPr="000B66BC" w:rsidRDefault="00B132DC" w:rsidP="000B66BC">
            <w:pPr>
              <w:pStyle w:val="BodyText1"/>
              <w:spacing w:after="240" w:line="240" w:lineRule="auto"/>
              <w:rPr>
                <w:rFonts w:ascii="Times New Roman" w:hAnsi="Times New Roman"/>
                <w:b/>
                <w:bCs/>
                <w:sz w:val="24"/>
                <w:szCs w:val="24"/>
              </w:rPr>
            </w:pPr>
            <w:r>
              <w:rPr>
                <w:rFonts w:ascii="Times New Roman" w:hAnsi="Times New Roman"/>
                <w:b/>
                <w:sz w:val="24"/>
              </w:rPr>
              <w:t>Nationell regering garanterar det offentliga utvecklingskreditinstitutet/den offentliga utvecklingsenheten</w:t>
            </w:r>
          </w:p>
        </w:tc>
      </w:tr>
      <w:tr w:rsidR="00B132DC" w:rsidRPr="00E75BB8" w14:paraId="355B1E3D" w14:textId="77777777" w:rsidTr="000B66BC">
        <w:tc>
          <w:tcPr>
            <w:tcW w:w="1730" w:type="dxa"/>
          </w:tcPr>
          <w:p w14:paraId="1700BD22" w14:textId="1957DAF2" w:rsidR="00B132DC" w:rsidRPr="000B66BC" w:rsidRDefault="003A13D1" w:rsidP="000B66BC">
            <w:pPr>
              <w:pStyle w:val="BodyText1"/>
              <w:spacing w:after="240"/>
              <w:rPr>
                <w:rFonts w:ascii="Times New Roman" w:hAnsi="Times New Roman"/>
                <w:bCs/>
                <w:sz w:val="24"/>
                <w:szCs w:val="24"/>
              </w:rPr>
            </w:pPr>
            <w:r>
              <w:rPr>
                <w:rFonts w:ascii="Times New Roman" w:hAnsi="Times New Roman"/>
                <w:sz w:val="24"/>
              </w:rPr>
              <w:t>{0090;0010}</w:t>
            </w:r>
          </w:p>
        </w:tc>
        <w:tc>
          <w:tcPr>
            <w:tcW w:w="7308" w:type="dxa"/>
          </w:tcPr>
          <w:p w14:paraId="12648551" w14:textId="723AC193" w:rsidR="00B132DC" w:rsidRPr="000B66BC" w:rsidRDefault="000A5B0A" w:rsidP="000B66BC">
            <w:pPr>
              <w:pStyle w:val="BodyText1"/>
              <w:spacing w:after="240" w:line="240" w:lineRule="auto"/>
              <w:rPr>
                <w:rFonts w:ascii="Times New Roman" w:hAnsi="Times New Roman"/>
                <w:b/>
                <w:bCs/>
                <w:sz w:val="24"/>
                <w:szCs w:val="24"/>
              </w:rPr>
            </w:pPr>
            <w:r>
              <w:rPr>
                <w:rFonts w:ascii="Times New Roman" w:hAnsi="Times New Roman"/>
                <w:b/>
                <w:sz w:val="24"/>
              </w:rPr>
              <w:t>Delstatligt självstyrelseorgan/myndighet garanterar det offentliga utvecklingskreditinstitutet/den offentliga utvecklingsenheten</w:t>
            </w:r>
          </w:p>
        </w:tc>
      </w:tr>
      <w:tr w:rsidR="00B132DC" w:rsidRPr="00E75BB8" w14:paraId="261210F5" w14:textId="77777777" w:rsidTr="000B66BC">
        <w:tc>
          <w:tcPr>
            <w:tcW w:w="1730" w:type="dxa"/>
          </w:tcPr>
          <w:p w14:paraId="03A3CB47" w14:textId="5C79DC97" w:rsidR="00B132DC" w:rsidRPr="000B66BC" w:rsidRDefault="003A13D1" w:rsidP="000B66BC">
            <w:pPr>
              <w:pStyle w:val="BodyText1"/>
              <w:spacing w:after="240"/>
              <w:rPr>
                <w:rFonts w:ascii="Times New Roman" w:hAnsi="Times New Roman"/>
                <w:bCs/>
                <w:sz w:val="24"/>
                <w:szCs w:val="24"/>
              </w:rPr>
            </w:pPr>
            <w:r>
              <w:rPr>
                <w:rFonts w:ascii="Times New Roman" w:hAnsi="Times New Roman"/>
                <w:sz w:val="24"/>
              </w:rPr>
              <w:t>{0100;0010}</w:t>
            </w:r>
          </w:p>
        </w:tc>
        <w:tc>
          <w:tcPr>
            <w:tcW w:w="7308" w:type="dxa"/>
          </w:tcPr>
          <w:p w14:paraId="3DBA105A" w14:textId="07763F33" w:rsidR="00B132DC"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Lokalt självstyrelseorgan/myndighet garanterar det offentliga utvecklingskreditinstitutet/den offentliga utvecklingsenheten</w:t>
            </w:r>
          </w:p>
        </w:tc>
      </w:tr>
      <w:tr w:rsidR="003B054D" w:rsidRPr="00E75BB8" w14:paraId="34258127" w14:textId="77777777" w:rsidTr="000B66BC">
        <w:tc>
          <w:tcPr>
            <w:tcW w:w="1730" w:type="dxa"/>
          </w:tcPr>
          <w:p w14:paraId="35F9E1F6" w14:textId="4B3A5235" w:rsidR="003B054D" w:rsidRPr="000B66BC" w:rsidRDefault="00F966CA" w:rsidP="000B66BC">
            <w:pPr>
              <w:pStyle w:val="BodyText1"/>
              <w:spacing w:after="240"/>
              <w:rPr>
                <w:rFonts w:ascii="Times New Roman" w:hAnsi="Times New Roman"/>
                <w:bCs/>
                <w:sz w:val="24"/>
                <w:szCs w:val="24"/>
              </w:rPr>
            </w:pPr>
            <w:r>
              <w:rPr>
                <w:rFonts w:ascii="Times New Roman" w:hAnsi="Times New Roman"/>
                <w:sz w:val="24"/>
              </w:rPr>
              <w:t>{0110;0010};</w:t>
            </w:r>
          </w:p>
          <w:p w14:paraId="4E5E6B84" w14:textId="41699235" w:rsidR="00F966CA" w:rsidRPr="000B66BC" w:rsidRDefault="00F966CA" w:rsidP="000B66BC">
            <w:pPr>
              <w:pStyle w:val="BodyText1"/>
              <w:spacing w:after="240"/>
              <w:rPr>
                <w:rFonts w:ascii="Times New Roman" w:hAnsi="Times New Roman"/>
                <w:bCs/>
                <w:sz w:val="24"/>
                <w:szCs w:val="24"/>
              </w:rPr>
            </w:pPr>
            <w:r>
              <w:rPr>
                <w:rFonts w:ascii="Times New Roman" w:hAnsi="Times New Roman"/>
                <w:sz w:val="24"/>
              </w:rPr>
              <w:t>{0120;0010};</w:t>
            </w:r>
          </w:p>
          <w:p w14:paraId="174F75EE" w14:textId="42C2EAF1" w:rsidR="00F966CA" w:rsidRPr="000B66BC" w:rsidRDefault="00F966CA" w:rsidP="000B66BC">
            <w:pPr>
              <w:pStyle w:val="BodyText1"/>
              <w:spacing w:after="240"/>
              <w:rPr>
                <w:rFonts w:ascii="Times New Roman" w:hAnsi="Times New Roman"/>
                <w:bCs/>
                <w:sz w:val="24"/>
                <w:szCs w:val="24"/>
              </w:rPr>
            </w:pPr>
            <w:r>
              <w:rPr>
                <w:rFonts w:ascii="Times New Roman" w:hAnsi="Times New Roman"/>
                <w:sz w:val="24"/>
              </w:rPr>
              <w:t>{0130;0010}</w:t>
            </w:r>
          </w:p>
        </w:tc>
        <w:tc>
          <w:tcPr>
            <w:tcW w:w="7308" w:type="dxa"/>
          </w:tcPr>
          <w:p w14:paraId="5E6BF02B" w14:textId="2863BEEC"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
                <w:sz w:val="24"/>
              </w:rPr>
              <w:t>Typ av garanti som mottagits i enlighet med artikel 429a.2 d i CRR</w:t>
            </w:r>
          </w:p>
          <w:p w14:paraId="6AD424FF" w14:textId="63E03310"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sz w:val="24"/>
              </w:rPr>
              <w:t>Institut som antingen är ett offentligt utvecklingskreditinstitut eller har en offentlig utvecklingsenhet ska rapportera vilken typ av skydd som erhållits</w:t>
            </w:r>
          </w:p>
          <w:p w14:paraId="70381FB6" w14:textId="2B13E154"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sz w:val="24"/>
              </w:rPr>
              <w:t>Instituten ska ange ”SANT” i den rad som motsvarar den typ av skydd som är tillämpligt, i annat fall ”FALSKT”.</w:t>
            </w:r>
          </w:p>
        </w:tc>
      </w:tr>
      <w:tr w:rsidR="004D70D0" w:rsidRPr="00E75BB8" w14:paraId="049655D5" w14:textId="77777777" w:rsidTr="000B66BC">
        <w:tc>
          <w:tcPr>
            <w:tcW w:w="1730" w:type="dxa"/>
          </w:tcPr>
          <w:p w14:paraId="1DD88EB6" w14:textId="02D4AA7C" w:rsidR="004D70D0" w:rsidRPr="000B66BC" w:rsidRDefault="00F966CA" w:rsidP="000B66BC">
            <w:pPr>
              <w:pStyle w:val="BodyText1"/>
              <w:spacing w:after="240"/>
              <w:rPr>
                <w:rFonts w:ascii="Times New Roman" w:hAnsi="Times New Roman"/>
                <w:bCs/>
                <w:sz w:val="24"/>
                <w:szCs w:val="24"/>
              </w:rPr>
            </w:pPr>
            <w:r>
              <w:rPr>
                <w:rFonts w:ascii="Times New Roman" w:hAnsi="Times New Roman"/>
                <w:sz w:val="24"/>
              </w:rPr>
              <w:t>{0110;0010}</w:t>
            </w:r>
          </w:p>
        </w:tc>
        <w:tc>
          <w:tcPr>
            <w:tcW w:w="7308" w:type="dxa"/>
          </w:tcPr>
          <w:p w14:paraId="29D5A7E2" w14:textId="34B8184D" w:rsidR="004D70D0"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Skyldighet att skydda kreditinstitutens fortlevnad</w:t>
            </w:r>
          </w:p>
        </w:tc>
      </w:tr>
      <w:tr w:rsidR="004D70D0" w:rsidRPr="00E75BB8" w14:paraId="4796D2E1" w14:textId="77777777" w:rsidTr="000B66BC">
        <w:tc>
          <w:tcPr>
            <w:tcW w:w="1730" w:type="dxa"/>
          </w:tcPr>
          <w:p w14:paraId="16677FDC" w14:textId="37E0FCCD" w:rsidR="004D70D0" w:rsidRPr="000B66BC" w:rsidRDefault="00F966CA" w:rsidP="000B66BC">
            <w:pPr>
              <w:pStyle w:val="BodyText1"/>
              <w:spacing w:after="240"/>
              <w:rPr>
                <w:rFonts w:ascii="Times New Roman" w:hAnsi="Times New Roman"/>
                <w:bCs/>
                <w:sz w:val="24"/>
                <w:szCs w:val="24"/>
              </w:rPr>
            </w:pPr>
            <w:r>
              <w:rPr>
                <w:rFonts w:ascii="Times New Roman" w:hAnsi="Times New Roman"/>
                <w:sz w:val="24"/>
              </w:rPr>
              <w:t>{0120;0010}</w:t>
            </w:r>
          </w:p>
        </w:tc>
        <w:tc>
          <w:tcPr>
            <w:tcW w:w="7308" w:type="dxa"/>
          </w:tcPr>
          <w:p w14:paraId="01E19ED4" w14:textId="2C530F26" w:rsidR="00F966C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Direkt garanti för kreditinstitutens kapitalbaskrav, finansieringskrav eller beviljade subventionerade lån</w:t>
            </w:r>
          </w:p>
        </w:tc>
      </w:tr>
      <w:tr w:rsidR="004D70D0" w:rsidRPr="00E75BB8" w14:paraId="5FD34A30" w14:textId="77777777" w:rsidTr="000B66BC">
        <w:tc>
          <w:tcPr>
            <w:tcW w:w="1730" w:type="dxa"/>
          </w:tcPr>
          <w:p w14:paraId="0024CD7F" w14:textId="224F79CB" w:rsidR="004D70D0" w:rsidRPr="000B66BC" w:rsidRDefault="00F966CA" w:rsidP="000B66BC">
            <w:pPr>
              <w:pStyle w:val="BodyText1"/>
              <w:spacing w:after="240"/>
              <w:rPr>
                <w:rFonts w:ascii="Times New Roman" w:hAnsi="Times New Roman"/>
                <w:bCs/>
                <w:sz w:val="24"/>
                <w:szCs w:val="24"/>
              </w:rPr>
            </w:pPr>
            <w:r>
              <w:rPr>
                <w:rFonts w:ascii="Times New Roman" w:hAnsi="Times New Roman"/>
                <w:sz w:val="24"/>
              </w:rPr>
              <w:t>{0130;0010}</w:t>
            </w:r>
          </w:p>
        </w:tc>
        <w:tc>
          <w:tcPr>
            <w:tcW w:w="7308" w:type="dxa"/>
          </w:tcPr>
          <w:p w14:paraId="6809ECEE" w14:textId="15891213" w:rsidR="002C169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Indirekt garanti för kreditinstitutens kapitalbaskrav, finansieringskrav eller beviljade subventionerade lån</w:t>
            </w:r>
          </w:p>
        </w:tc>
      </w:tr>
    </w:tbl>
    <w:p w14:paraId="47D20A93" w14:textId="77777777" w:rsidR="00565261" w:rsidRPr="000B66BC" w:rsidRDefault="00565261" w:rsidP="000B66BC">
      <w:pPr>
        <w:pStyle w:val="BodyText1"/>
        <w:spacing w:after="240"/>
        <w:ind w:left="567"/>
        <w:rPr>
          <w:rFonts w:ascii="Times New Roman" w:hAnsi="Times New Roman"/>
          <w:sz w:val="24"/>
          <w:szCs w:val="24"/>
        </w:rPr>
      </w:pPr>
    </w:p>
    <w:p w14:paraId="0E59FFDF" w14:textId="35DCDD76" w:rsidR="00700DB7" w:rsidRPr="000B66BC" w:rsidRDefault="005F4574" w:rsidP="000B66BC">
      <w:pPr>
        <w:pStyle w:val="BodyText1"/>
        <w:spacing w:after="240"/>
        <w:ind w:left="357" w:hanging="357"/>
        <w:outlineLvl w:val="1"/>
        <w:rPr>
          <w:rFonts w:ascii="Times New Roman" w:hAnsi="Times New Roman"/>
          <w:b/>
          <w:sz w:val="24"/>
          <w:szCs w:val="24"/>
        </w:rPr>
      </w:pPr>
      <w:bookmarkStart w:id="78" w:name="_Toc188450107"/>
      <w:r>
        <w:rPr>
          <w:rFonts w:ascii="Times New Roman" w:hAnsi="Times New Roman"/>
          <w:b/>
          <w:sz w:val="24"/>
        </w:rPr>
        <w:t>7.</w:t>
      </w:r>
      <w:r>
        <w:rPr>
          <w:rFonts w:ascii="Times New Roman" w:hAnsi="Times New Roman"/>
          <w:b/>
          <w:sz w:val="24"/>
        </w:rPr>
        <w:tab/>
        <w:t>C 48.00 – Bruttosoliditetsgradens volatilitet (LR6)</w:t>
      </w:r>
      <w:bookmarkEnd w:id="78"/>
    </w:p>
    <w:p w14:paraId="4D3787F1" w14:textId="2C3256EB" w:rsidR="00700DB7"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29.</w:t>
      </w:r>
      <w:r>
        <w:rPr>
          <w:rFonts w:ascii="Times New Roman" w:hAnsi="Times New Roman"/>
          <w:sz w:val="24"/>
        </w:rPr>
        <w:tab/>
        <w:t xml:space="preserve">Informationen samlas in för övervakning av bruttosoliditetsgradens volatilitet. Informationen ska endast rapporteras av stora institut. </w:t>
      </w:r>
    </w:p>
    <w:p w14:paraId="16B16093" w14:textId="5ABFB2E9" w:rsidR="000472E7" w:rsidRPr="000B66BC" w:rsidRDefault="005F4574" w:rsidP="000B66BC">
      <w:pPr>
        <w:pStyle w:val="BodyText1"/>
        <w:spacing w:after="240"/>
        <w:ind w:left="357" w:hanging="357"/>
        <w:outlineLvl w:val="1"/>
        <w:rPr>
          <w:rFonts w:ascii="Times New Roman" w:hAnsi="Times New Roman"/>
          <w:b/>
          <w:sz w:val="24"/>
          <w:szCs w:val="24"/>
        </w:rPr>
      </w:pPr>
      <w:bookmarkStart w:id="79" w:name="_Toc188450108"/>
      <w:r>
        <w:rPr>
          <w:rFonts w:ascii="Times New Roman" w:hAnsi="Times New Roman"/>
          <w:b/>
          <w:sz w:val="24"/>
        </w:rPr>
        <w:t>8.</w:t>
      </w:r>
      <w:r>
        <w:rPr>
          <w:rFonts w:ascii="Times New Roman" w:hAnsi="Times New Roman"/>
          <w:b/>
          <w:sz w:val="24"/>
        </w:rPr>
        <w:tab/>
        <w:t>C 48.01 Bruttosoliditetsgradens volatilitet: Medelvärde för rapporteringsperioden</w:t>
      </w:r>
      <w:bookmarkEnd w:id="79"/>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sz w:val="24"/>
              </w:rPr>
              <w:lastRenderedPageBreak/>
              <w:t xml:space="preserve">Rad </w:t>
            </w:r>
          </w:p>
          <w:p w14:paraId="188CF35D"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sz w:val="24"/>
              </w:rPr>
              <w:t>och kolumn</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rPr>
              <w:t>Instruktioner</w:t>
            </w:r>
          </w:p>
        </w:tc>
      </w:tr>
      <w:tr w:rsidR="001D7541" w:rsidRPr="00E75BB8"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Medelvärde för rapporteringsperioden – exponeringsvärde för transaktioner för värdepappersfinansiering</w:t>
            </w:r>
          </w:p>
          <w:p w14:paraId="27CD001D" w14:textId="4B020038"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rPr>
              <w:t>Instituten ska rapportera medelvärdet av de dagliga värdena för det rapporterande kvartalet av exponeringsvärdet för transaktioner för värdepappersfinansiering efter avdrag för den undantagna centrala motpartsdelen av handelsexponeringar som clearats av kunden enligt vad som anges på raderna 0010 och 0050 i mall C47.00.</w:t>
            </w:r>
          </w:p>
        </w:tc>
      </w:tr>
      <w:tr w:rsidR="001D7541" w:rsidRPr="00E75BB8"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Medelvärde för rapporteringsperioden –</w:t>
            </w:r>
            <w:r>
              <w:rPr>
                <w:sz w:val="24"/>
              </w:rPr>
              <w:t xml:space="preserve"> </w:t>
            </w:r>
            <w:r>
              <w:rPr>
                <w:rFonts w:ascii="Times New Roman" w:hAnsi="Times New Roman"/>
                <w:b/>
                <w:color w:val="auto"/>
                <w:sz w:val="24"/>
              </w:rPr>
              <w:t xml:space="preserve">justeringar för bokförda försäljningstransaktioner vid transaktioner för värdepappersfinansiering </w:t>
            </w:r>
          </w:p>
          <w:p w14:paraId="53B119C8" w14:textId="5C8C9F92"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rPr>
              <w:t xml:space="preserve">Instituten ska rapportera medelvärdet av de dagliga värdena för det rapporterade kvartalet av justeringarna för bokförda försäljningstransaktioner för värdepappersfinansiering enligt vad som anges på rad 0230 </w:t>
            </w:r>
            <w:r>
              <w:rPr>
                <w:rFonts w:ascii="Times New Roman" w:hAnsi="Times New Roman"/>
                <w:sz w:val="24"/>
              </w:rPr>
              <w:t>i mall C47.00</w:t>
            </w:r>
            <w:r>
              <w:rPr>
                <w:rFonts w:ascii="Times New Roman" w:hAnsi="Times New Roman"/>
                <w:color w:val="auto"/>
                <w:sz w:val="24"/>
              </w:rPr>
              <w:t>.</w:t>
            </w:r>
          </w:p>
        </w:tc>
      </w:tr>
    </w:tbl>
    <w:p w14:paraId="74866056" w14:textId="69DED7CA" w:rsidR="000472E7" w:rsidRPr="000B66BC" w:rsidRDefault="000472E7" w:rsidP="000B66BC">
      <w:pPr>
        <w:pStyle w:val="BodyText1"/>
        <w:spacing w:after="240"/>
        <w:ind w:left="567"/>
        <w:rPr>
          <w:rFonts w:ascii="Times New Roman" w:hAnsi="Times New Roman"/>
          <w:sz w:val="24"/>
          <w:szCs w:val="24"/>
        </w:rPr>
      </w:pPr>
    </w:p>
    <w:p w14:paraId="622AB7C1" w14:textId="0B8B7A60" w:rsidR="001D7541" w:rsidRPr="000B66BC" w:rsidRDefault="005F4574" w:rsidP="000B66BC">
      <w:pPr>
        <w:pStyle w:val="BodyText1"/>
        <w:spacing w:after="240"/>
        <w:ind w:left="357" w:hanging="357"/>
        <w:outlineLvl w:val="1"/>
        <w:rPr>
          <w:rFonts w:ascii="Times New Roman" w:hAnsi="Times New Roman"/>
          <w:b/>
          <w:sz w:val="24"/>
          <w:szCs w:val="24"/>
        </w:rPr>
      </w:pPr>
      <w:bookmarkStart w:id="80" w:name="_Toc188450109"/>
      <w:r>
        <w:rPr>
          <w:rFonts w:ascii="Times New Roman" w:hAnsi="Times New Roman"/>
          <w:b/>
          <w:sz w:val="24"/>
        </w:rPr>
        <w:t>9.</w:t>
      </w:r>
      <w:r>
        <w:rPr>
          <w:rFonts w:ascii="Times New Roman" w:hAnsi="Times New Roman"/>
          <w:b/>
          <w:sz w:val="24"/>
        </w:rPr>
        <w:tab/>
        <w:t>C 48.02 Bruttosoliditetsgradens volatilitet: Dagliga värden för rapporteringsperioden</w:t>
      </w:r>
      <w:bookmarkEnd w:id="80"/>
    </w:p>
    <w:p w14:paraId="1BD85257" w14:textId="38D419A9" w:rsidR="001D7541" w:rsidRPr="000B66BC" w:rsidRDefault="00FA475C"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30.</w:t>
      </w:r>
      <w:r>
        <w:rPr>
          <w:rFonts w:ascii="Times New Roman" w:hAnsi="Times New Roman"/>
          <w:sz w:val="24"/>
        </w:rPr>
        <w:tab/>
        <w:t xml:space="preserve">De dagliga värdena under kvartalet ska rapporteras.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sz w:val="24"/>
              </w:rPr>
              <w:t xml:space="preserve">Rad </w:t>
            </w:r>
          </w:p>
          <w:p w14:paraId="4A69CF6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sz w:val="24"/>
              </w:rPr>
              <w:t>och kolumn</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rPr>
              <w:t>Instruktioner</w:t>
            </w:r>
          </w:p>
        </w:tc>
      </w:tr>
      <w:tr w:rsidR="001D7541" w:rsidRPr="00E75BB8"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EF262DA"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Referensdatum inom rapporteringsperioden</w:t>
            </w:r>
          </w:p>
          <w:p w14:paraId="11691437" w14:textId="6CB0BDCD" w:rsidR="001D7541" w:rsidRPr="000B66BC" w:rsidRDefault="005E0E4A"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rPr>
              <w:t>Instituten ska rapportera det datum som det rapporterade dagliga värdet avser. Varje dag i det rapporterande kvartalet ska rapporteras.</w:t>
            </w:r>
          </w:p>
        </w:tc>
      </w:tr>
      <w:tr w:rsidR="001D7541" w:rsidRPr="00E75BB8"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0B66BC" w:rsidRDefault="001D7541" w:rsidP="000B66BC">
            <w:pPr>
              <w:pStyle w:val="BodyText1"/>
              <w:spacing w:after="240"/>
              <w:rPr>
                <w:rFonts w:ascii="Times New Roman" w:hAnsi="Times New Roman"/>
                <w:bCs/>
                <w:color w:val="auto"/>
                <w:sz w:val="24"/>
                <w:szCs w:val="24"/>
              </w:rPr>
            </w:pPr>
            <w:r>
              <w:rPr>
                <w:rFonts w:ascii="Times New Roman" w:hAnsi="Times New Roman"/>
                <w:color w:val="auto"/>
                <w:sz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Exponeringsvärde för transaktioner för värdepappersfinansiering</w:t>
            </w:r>
          </w:p>
          <w:p w14:paraId="56D707C5" w14:textId="5C4FBC5B"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rPr>
              <w:t>Instituten ska rapportera de dagliga värdena för det rapporterande kvartalet av exponeringsvärdet för transaktioner för värdepappersfinansiering efter avdrag för den undantagna centrala motpartsdelen av handelsexponeringar som clearats av kunden i enlighet med raderna 0010 och 0050 i mall C47.00.</w:t>
            </w:r>
          </w:p>
        </w:tc>
      </w:tr>
      <w:tr w:rsidR="001D7541" w:rsidRPr="00E75BB8"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Pr="000B66BC" w:rsidRDefault="00640D9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Justeringar för bokförda försäljningstransaktioner vid transaktioner för värdepappersfinansiering</w:t>
            </w:r>
          </w:p>
          <w:p w14:paraId="757C080D" w14:textId="4E51B80D" w:rsidR="00926849"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rPr>
              <w:lastRenderedPageBreak/>
              <w:t xml:space="preserve">Instituten ska rapportera de dagliga värdena för det rapporterande kvartalet av justeringarna för bokförda försäljningstransaktioner för värdepappersfinansiering enligt vad som anges på rad 0230 </w:t>
            </w:r>
            <w:r>
              <w:rPr>
                <w:rFonts w:ascii="Times New Roman" w:hAnsi="Times New Roman"/>
                <w:sz w:val="24"/>
              </w:rPr>
              <w:t>i mall C 47.00</w:t>
            </w:r>
            <w:r>
              <w:rPr>
                <w:rFonts w:ascii="Times New Roman" w:hAnsi="Times New Roman"/>
                <w:color w:val="auto"/>
                <w:sz w:val="24"/>
              </w:rPr>
              <w:t>.</w:t>
            </w:r>
          </w:p>
        </w:tc>
      </w:tr>
    </w:tbl>
    <w:p w14:paraId="49B21AC1" w14:textId="77777777" w:rsidR="0009615C" w:rsidRPr="000B66BC" w:rsidRDefault="0009615C" w:rsidP="000B66BC">
      <w:pPr>
        <w:pStyle w:val="BodyText1"/>
        <w:spacing w:after="240"/>
        <w:rPr>
          <w:rFonts w:ascii="Times New Roman" w:hAnsi="Times New Roman"/>
          <w:sz w:val="24"/>
          <w:szCs w:val="24"/>
        </w:rPr>
      </w:pPr>
    </w:p>
    <w:sectPr w:rsidR="0009615C" w:rsidRPr="000B66BC" w:rsidSect="005315D3">
      <w:headerReference w:type="even" r:id="rId18"/>
      <w:headerReference w:type="default" r:id="rId19"/>
      <w:footerReference w:type="default" r:id="rId20"/>
      <w:headerReference w:type="first" r:id="rId21"/>
      <w:footerReference w:type="first" r:id="rId22"/>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E5774" w14:textId="77777777" w:rsidR="00246A51" w:rsidRDefault="00246A51">
      <w:r>
        <w:separator/>
      </w:r>
    </w:p>
  </w:endnote>
  <w:endnote w:type="continuationSeparator" w:id="0">
    <w:p w14:paraId="48B49365" w14:textId="77777777" w:rsidR="00246A51" w:rsidRDefault="00246A51">
      <w:r>
        <w:continuationSeparator/>
      </w:r>
    </w:p>
  </w:endnote>
  <w:endnote w:type="continuationNotice" w:id="1">
    <w:p w14:paraId="2F022A14" w14:textId="77777777" w:rsidR="00246A51" w:rsidRDefault="00246A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160F" w14:textId="2B225E98" w:rsidR="000B66BC" w:rsidRPr="00A772B4" w:rsidRDefault="000B66BC">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rPr>
      <w:t>2</w:t>
    </w:r>
    <w:r w:rsidRPr="00A772B4">
      <w:rPr>
        <w:rFonts w:ascii="Times New Roman" w:hAnsi="Times New Roman"/>
      </w:rPr>
      <w:fldChar w:fldCharType="end"/>
    </w:r>
  </w:p>
  <w:p w14:paraId="2D971917" w14:textId="77777777" w:rsidR="000B66BC" w:rsidRDefault="000B66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8305317"/>
      <w:docPartObj>
        <w:docPartGallery w:val="Page Numbers (Bottom of Page)"/>
        <w:docPartUnique/>
      </w:docPartObj>
    </w:sdtPr>
    <w:sdtEndPr>
      <w:rPr>
        <w:noProof/>
      </w:rPr>
    </w:sdtEndPr>
    <w:sdtContent>
      <w:p w14:paraId="5677655A" w14:textId="0638364B" w:rsidR="000B66BC" w:rsidRDefault="000B66BC">
        <w:pPr>
          <w:pStyle w:val="Footer"/>
          <w:jc w:val="center"/>
        </w:pPr>
        <w:r>
          <w:fldChar w:fldCharType="begin"/>
        </w:r>
        <w:r>
          <w:instrText xml:space="preserve"> PAGE   \* MERGEFORMAT </w:instrText>
        </w:r>
        <w:r>
          <w:fldChar w:fldCharType="separate"/>
        </w:r>
        <w:r w:rsidR="00A84D67">
          <w:t>1</w:t>
        </w:r>
        <w:r>
          <w:fldChar w:fldCharType="end"/>
        </w:r>
      </w:p>
    </w:sdtContent>
  </w:sdt>
  <w:p w14:paraId="3D7804EA" w14:textId="77777777" w:rsidR="000B66BC" w:rsidRDefault="000B66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0"/>
      </w:rPr>
      <w:id w:val="17201704"/>
      <w:docPartObj>
        <w:docPartGallery w:val="Page Numbers (Bottom of Page)"/>
        <w:docPartUnique/>
      </w:docPartObj>
    </w:sdtPr>
    <w:sdtEndPr/>
    <w:sdtContent>
      <w:p w14:paraId="3FFD22B5" w14:textId="039A8FD3" w:rsidR="000B66BC" w:rsidRPr="009A78F0" w:rsidRDefault="000B66BC"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A84D67">
          <w:rPr>
            <w:rFonts w:ascii="Times New Roman" w:hAnsi="Times New Roman"/>
            <w:sz w:val="20"/>
          </w:rPr>
          <w:t>3</w:t>
        </w:r>
        <w:r w:rsidRPr="009A78F0">
          <w:rPr>
            <w:rFonts w:ascii="Times New Roman" w:hAnsi="Times New Roman"/>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0"/>
      <w:docPartObj>
        <w:docPartGallery w:val="Page Numbers (Bottom of Page)"/>
        <w:docPartUnique/>
      </w:docPartObj>
    </w:sdtPr>
    <w:sdtEndPr/>
    <w:sdtContent>
      <w:p w14:paraId="58D08035" w14:textId="77777777" w:rsidR="000B66BC" w:rsidRDefault="000B66BC">
        <w:pPr>
          <w:pStyle w:val="Footer"/>
          <w:jc w:val="right"/>
        </w:pPr>
        <w:r>
          <w:fldChar w:fldCharType="begin"/>
        </w:r>
        <w:r>
          <w:instrText xml:space="preserve"> PAGE   \* MERGEFORMAT </w:instrText>
        </w:r>
        <w:r>
          <w:fldChar w:fldCharType="separate"/>
        </w:r>
        <w:r>
          <w:t>44</w:t>
        </w:r>
        <w:r>
          <w:fldChar w:fldCharType="end"/>
        </w:r>
      </w:p>
    </w:sdtContent>
  </w:sdt>
  <w:p w14:paraId="51D344E0" w14:textId="77777777" w:rsidR="000B66BC" w:rsidRDefault="000B66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C18F3" w14:textId="77777777" w:rsidR="00246A51" w:rsidRPr="004D223F" w:rsidRDefault="00246A51" w:rsidP="00C7701D">
      <w:r>
        <w:continuationSeparator/>
      </w:r>
    </w:p>
  </w:footnote>
  <w:footnote w:type="continuationSeparator" w:id="0">
    <w:p w14:paraId="668A8285" w14:textId="77777777" w:rsidR="00246A51" w:rsidRDefault="00246A51">
      <w:r>
        <w:continuationSeparator/>
      </w:r>
    </w:p>
  </w:footnote>
  <w:footnote w:type="continuationNotice" w:id="1">
    <w:p w14:paraId="191D2AE9" w14:textId="77777777" w:rsidR="00246A51" w:rsidRDefault="00246A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359B9" w14:textId="4F64E569" w:rsidR="000B66BC" w:rsidRDefault="001F5E87">
    <w:pPr>
      <w:pStyle w:val="Header"/>
    </w:pPr>
    <w:r>
      <w:rPr>
        <w:noProof/>
      </w:rPr>
      <mc:AlternateContent>
        <mc:Choice Requires="wps">
          <w:drawing>
            <wp:anchor distT="0" distB="0" distL="0" distR="0" simplePos="0" relativeHeight="251658242" behindDoc="0" locked="0" layoutInCell="1" allowOverlap="1" wp14:anchorId="6CC1CACD" wp14:editId="1936BD4F">
              <wp:simplePos x="635" y="635"/>
              <wp:positionH relativeFrom="page">
                <wp:align>left</wp:align>
              </wp:positionH>
              <wp:positionV relativeFrom="page">
                <wp:align>top</wp:align>
              </wp:positionV>
              <wp:extent cx="443865" cy="443865"/>
              <wp:effectExtent l="0" t="0" r="3175" b="4445"/>
              <wp:wrapNone/>
              <wp:docPr id="489624914" name="Text Box 489624914"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55D8BC" w14:textId="1F687825" w:rsidR="001F5E87" w:rsidRPr="001F5E87" w:rsidRDefault="001F5E87" w:rsidP="001F5E87">
                          <w:pPr>
                            <w:rPr>
                              <w:rFonts w:ascii="Calibri" w:eastAsia="Calibri" w:hAnsi="Calibri" w:cs="Calibri"/>
                              <w:noProof/>
                              <w:sz w:val="24"/>
                              <w:szCs w:val="24"/>
                            </w:rPr>
                          </w:pPr>
                          <w:r>
                            <w:rPr>
                              <w:rFonts w:ascii="Calibri" w:hAnsi="Calibri"/>
                              <w:sz w:val="24"/>
                            </w:rPr>
                            <w:t>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CC1CACD" id="_x0000_t202" coordsize="21600,21600" o:spt="202" path="m,l,21600r21600,l21600,xe">
              <v:stroke joinstyle="miter"/>
              <v:path gradientshapeok="t" o:connecttype="rect"/>
            </v:shapetype>
            <v:shape id="Text Box 489624914" o:spid="_x0000_s1026" type="#_x0000_t202" alt="EBA Ordinarie användning"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355D8BC" w14:textId="1F687825" w:rsidR="001F5E87" w:rsidRPr="001F5E87" w:rsidRDefault="001F5E87" w:rsidP="001F5E87">
                    <w:pPr>
                      <w:rPr>
                        <w:rFonts w:ascii="Calibri" w:eastAsia="Calibri" w:hAnsi="Calibri" w:cs="Calibri"/>
                        <w:noProof/>
                        <w:sz w:val="24"/>
                        <w:szCs w:val="24"/>
                      </w:rPr>
                    </w:pPr>
                    <w:r>
                      <w:rPr>
                        <w:rFonts w:ascii="Calibri" w:hAnsi="Calibri"/>
                        <w:sz w:val="24"/>
                      </w:rPr>
                      <w:t>EBA Ordinarie användning</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F71AD" w14:textId="5352D09C" w:rsidR="000B66BC" w:rsidRPr="00B93D0F" w:rsidRDefault="001F5E87" w:rsidP="00B93D0F">
    <w:pPr>
      <w:pStyle w:val="Header"/>
    </w:pPr>
    <w:r>
      <w:rPr>
        <w:noProof/>
      </w:rPr>
      <mc:AlternateContent>
        <mc:Choice Requires="wps">
          <w:drawing>
            <wp:anchor distT="0" distB="0" distL="0" distR="0" simplePos="0" relativeHeight="251658243" behindDoc="0" locked="0" layoutInCell="1" allowOverlap="1" wp14:anchorId="2B19CDBC" wp14:editId="0EA62CA6">
              <wp:simplePos x="635" y="635"/>
              <wp:positionH relativeFrom="page">
                <wp:align>left</wp:align>
              </wp:positionH>
              <wp:positionV relativeFrom="page">
                <wp:align>top</wp:align>
              </wp:positionV>
              <wp:extent cx="443865" cy="443865"/>
              <wp:effectExtent l="0" t="0" r="3175" b="4445"/>
              <wp:wrapNone/>
              <wp:docPr id="499333934" name="Text Box 499333934"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AF00E0" w14:textId="27C18584" w:rsidR="001F5E87" w:rsidRPr="001F5E87" w:rsidRDefault="001F5E87" w:rsidP="001F5E87">
                          <w:pPr>
                            <w:rPr>
                              <w:rFonts w:ascii="Calibri" w:eastAsia="Calibri" w:hAnsi="Calibri" w:cs="Calibri"/>
                              <w:noProof/>
                              <w:sz w:val="24"/>
                              <w:szCs w:val="24"/>
                            </w:rPr>
                          </w:pPr>
                          <w:r>
                            <w:rPr>
                              <w:rFonts w:ascii="Calibri" w:hAnsi="Calibri"/>
                              <w:sz w:val="24"/>
                            </w:rPr>
                            <w:t>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B19CDBC" id="_x0000_t202" coordsize="21600,21600" o:spt="202" path="m,l,21600r21600,l21600,xe">
              <v:stroke joinstyle="miter"/>
              <v:path gradientshapeok="t" o:connecttype="rect"/>
            </v:shapetype>
            <v:shape id="Text Box 499333934" o:spid="_x0000_s1027" type="#_x0000_t202" alt="EBA Ordinarie användning" style="position:absolute;left:0;text-align:left;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6FAF00E0" w14:textId="27C18584" w:rsidR="001F5E87" w:rsidRPr="001F5E87" w:rsidRDefault="001F5E87" w:rsidP="001F5E87">
                    <w:pPr>
                      <w:rPr>
                        <w:rFonts w:ascii="Calibri" w:eastAsia="Calibri" w:hAnsi="Calibri" w:cs="Calibri"/>
                        <w:noProof/>
                        <w:sz w:val="24"/>
                        <w:szCs w:val="24"/>
                      </w:rPr>
                    </w:pPr>
                    <w:r>
                      <w:rPr>
                        <w:rFonts w:ascii="Calibri" w:hAnsi="Calibri"/>
                        <w:sz w:val="24"/>
                      </w:rPr>
                      <w:t>EBA Ordinarie användning</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32A18" w14:textId="244788FF" w:rsidR="000B66BC" w:rsidRPr="000B66BC" w:rsidRDefault="001F5E87" w:rsidP="000B66BC">
    <w:pPr>
      <w:pStyle w:val="Header"/>
    </w:pPr>
    <w:r>
      <w:rPr>
        <w:noProof/>
      </w:rPr>
      <mc:AlternateContent>
        <mc:Choice Requires="wps">
          <w:drawing>
            <wp:anchor distT="0" distB="0" distL="0" distR="0" simplePos="0" relativeHeight="251658241" behindDoc="0" locked="0" layoutInCell="1" allowOverlap="1" wp14:anchorId="675F660B" wp14:editId="78920B4E">
              <wp:simplePos x="635" y="635"/>
              <wp:positionH relativeFrom="page">
                <wp:align>left</wp:align>
              </wp:positionH>
              <wp:positionV relativeFrom="page">
                <wp:align>top</wp:align>
              </wp:positionV>
              <wp:extent cx="443865" cy="443865"/>
              <wp:effectExtent l="0" t="0" r="3175" b="4445"/>
              <wp:wrapNone/>
              <wp:docPr id="1102765287" name="Text Box 1102765287"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62D41A" w14:textId="4C6FCB87" w:rsidR="001F5E87" w:rsidRPr="001F5E87" w:rsidRDefault="001F5E87" w:rsidP="001F5E87">
                          <w:pPr>
                            <w:rPr>
                              <w:rFonts w:ascii="Calibri" w:eastAsia="Calibri" w:hAnsi="Calibri" w:cs="Calibri"/>
                              <w:noProof/>
                              <w:sz w:val="24"/>
                              <w:szCs w:val="24"/>
                            </w:rPr>
                          </w:pPr>
                          <w:r>
                            <w:rPr>
                              <w:rFonts w:ascii="Calibri" w:hAnsi="Calibri"/>
                              <w:sz w:val="24"/>
                            </w:rPr>
                            <w:t>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75F660B" id="_x0000_t202" coordsize="21600,21600" o:spt="202" path="m,l,21600r21600,l21600,xe">
              <v:stroke joinstyle="miter"/>
              <v:path gradientshapeok="t" o:connecttype="rect"/>
            </v:shapetype>
            <v:shape id="Text Box 1102765287" o:spid="_x0000_s1028" type="#_x0000_t202" alt="EBA Ordinarie användning"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A62D41A" w14:textId="4C6FCB87" w:rsidR="001F5E87" w:rsidRPr="001F5E87" w:rsidRDefault="001F5E87" w:rsidP="001F5E87">
                    <w:pPr>
                      <w:rPr>
                        <w:rFonts w:ascii="Calibri" w:eastAsia="Calibri" w:hAnsi="Calibri" w:cs="Calibri"/>
                        <w:noProof/>
                        <w:sz w:val="24"/>
                        <w:szCs w:val="24"/>
                      </w:rPr>
                    </w:pPr>
                    <w:r>
                      <w:rPr>
                        <w:rFonts w:ascii="Calibri" w:hAnsi="Calibri"/>
                        <w:sz w:val="24"/>
                      </w:rPr>
                      <w:t>EBA Ordinarie användning</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E0DCE" w14:textId="0A918D55" w:rsidR="001F5E87" w:rsidRDefault="001F5E87">
    <w:pPr>
      <w:pStyle w:val="Header"/>
    </w:pPr>
    <w:r>
      <w:rPr>
        <w:noProof/>
      </w:rPr>
      <mc:AlternateContent>
        <mc:Choice Requires="wps">
          <w:drawing>
            <wp:anchor distT="0" distB="0" distL="0" distR="0" simplePos="0" relativeHeight="251658245" behindDoc="0" locked="0" layoutInCell="1" allowOverlap="1" wp14:anchorId="0CE7BC3D" wp14:editId="42490FE9">
              <wp:simplePos x="635" y="635"/>
              <wp:positionH relativeFrom="page">
                <wp:align>left</wp:align>
              </wp:positionH>
              <wp:positionV relativeFrom="page">
                <wp:align>top</wp:align>
              </wp:positionV>
              <wp:extent cx="443865" cy="443865"/>
              <wp:effectExtent l="0" t="0" r="3175" b="4445"/>
              <wp:wrapNone/>
              <wp:docPr id="1344682523" name="Text Box 1344682523"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22957A" w14:textId="45CD2FFA" w:rsidR="001F5E87" w:rsidRPr="001F5E87" w:rsidRDefault="001F5E87" w:rsidP="001F5E87">
                          <w:pPr>
                            <w:rPr>
                              <w:rFonts w:ascii="Calibri" w:eastAsia="Calibri" w:hAnsi="Calibri" w:cs="Calibri"/>
                              <w:noProof/>
                              <w:sz w:val="24"/>
                              <w:szCs w:val="24"/>
                            </w:rPr>
                          </w:pPr>
                          <w:r>
                            <w:rPr>
                              <w:rFonts w:ascii="Calibri" w:hAnsi="Calibri"/>
                              <w:sz w:val="24"/>
                            </w:rPr>
                            <w:t>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E7BC3D" id="_x0000_t202" coordsize="21600,21600" o:spt="202" path="m,l,21600r21600,l21600,xe">
              <v:stroke joinstyle="miter"/>
              <v:path gradientshapeok="t" o:connecttype="rect"/>
            </v:shapetype>
            <v:shape id="Text Box 1344682523" o:spid="_x0000_s1029" type="#_x0000_t202" alt="EBA Ordinarie användning" style="position:absolute;left:0;text-align:left;margin-left:0;margin-top:0;width:34.95pt;height:34.95pt;z-index:251658245;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APD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zBbzPI8CS970c76InkseGvvRMEf9AKjFKT4L&#10;y5MZ64IaTelAv6Gm1/E2TDHD8c6ShtF8CL188U1wsV6nItSSZWFrdpbH1hGzCOhr98acHVAPSNcT&#10;jJJixTvw+9r4p7frY0AKEjMR3x7NAXbUYeJ2eDNR6L/6qer6slc/AQ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BI6APDDwIAACEE&#10;AAAOAAAAAAAAAAAAAAAAAC4CAABkcnMvZTJvRG9jLnhtbFBLAQItABQABgAIAAAAIQBzm59s2QAA&#10;AAMBAAAPAAAAAAAAAAAAAAAAAGkEAABkcnMvZG93bnJldi54bWxQSwUGAAAAAAQABADzAAAAbwUA&#10;AAAA&#10;" filled="f" stroked="f">
              <v:textbox style="mso-fit-shape-to-text:t" inset="20pt,15pt,0,0">
                <w:txbxContent>
                  <w:p w14:paraId="2C22957A" w14:textId="45CD2FFA" w:rsidR="001F5E87" w:rsidRPr="001F5E87" w:rsidRDefault="001F5E87" w:rsidP="001F5E87">
                    <w:pPr>
                      <w:rPr>
                        <w:rFonts w:ascii="Calibri" w:eastAsia="Calibri" w:hAnsi="Calibri" w:cs="Calibri"/>
                        <w:noProof/>
                        <w:sz w:val="24"/>
                        <w:szCs w:val="24"/>
                      </w:rPr>
                    </w:pPr>
                    <w:r>
                      <w:rPr>
                        <w:rFonts w:ascii="Calibri" w:hAnsi="Calibri"/>
                        <w:sz w:val="24"/>
                      </w:rPr>
                      <w:t>EBA Ordinarie användning</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E0FDF" w14:textId="1BA26D02" w:rsidR="001F5E87" w:rsidRDefault="001F5E87">
    <w:pPr>
      <w:pStyle w:val="Header"/>
    </w:pPr>
    <w:r>
      <w:rPr>
        <w:noProof/>
      </w:rPr>
      <mc:AlternateContent>
        <mc:Choice Requires="wps">
          <w:drawing>
            <wp:anchor distT="0" distB="0" distL="0" distR="0" simplePos="0" relativeHeight="251658246" behindDoc="0" locked="0" layoutInCell="1" allowOverlap="1" wp14:anchorId="413C97DB" wp14:editId="73722359">
              <wp:simplePos x="635" y="635"/>
              <wp:positionH relativeFrom="page">
                <wp:align>left</wp:align>
              </wp:positionH>
              <wp:positionV relativeFrom="page">
                <wp:align>top</wp:align>
              </wp:positionV>
              <wp:extent cx="443865" cy="443865"/>
              <wp:effectExtent l="0" t="0" r="3175" b="4445"/>
              <wp:wrapNone/>
              <wp:docPr id="926357965" name="Text Box 926357965"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8B35F7" w14:textId="6DA22982" w:rsidR="001F5E87" w:rsidRPr="001F5E87" w:rsidRDefault="001F5E87" w:rsidP="001F5E87">
                          <w:pPr>
                            <w:rPr>
                              <w:rFonts w:ascii="Calibri" w:eastAsia="Calibri" w:hAnsi="Calibri" w:cs="Calibri"/>
                              <w:noProof/>
                              <w:sz w:val="24"/>
                              <w:szCs w:val="24"/>
                            </w:rPr>
                          </w:pPr>
                          <w:r>
                            <w:rPr>
                              <w:rFonts w:ascii="Calibri" w:hAnsi="Calibri"/>
                              <w:sz w:val="24"/>
                            </w:rPr>
                            <w:t>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3C97DB" id="_x0000_t202" coordsize="21600,21600" o:spt="202" path="m,l,21600r21600,l21600,xe">
              <v:stroke joinstyle="miter"/>
              <v:path gradientshapeok="t" o:connecttype="rect"/>
            </v:shapetype>
            <v:shape id="Text Box 926357965" o:spid="_x0000_s1030" type="#_x0000_t202" alt="EBA Ordinarie användning" style="position:absolute;left:0;text-align:left;margin-left:0;margin-top:0;width:34.95pt;height:34.95pt;z-index:25165824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2XO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2WKe51Fg6Ta9yxfx5tINjf1omKN+ANTiFJ+F&#10;5cmMeUGNpnSg31DT69gNQ8xw7FnSMJoPoZcvvgku1uuUhFqyLGzNzvJYOmIWAX3t3pizA+oB6XqC&#10;UVKseAd+nxv/9HZ9DEhBYibi26M5wI46TNwObyYK/dd7yrq+7NVP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AaS2XODwIAACEE&#10;AAAOAAAAAAAAAAAAAAAAAC4CAABkcnMvZTJvRG9jLnhtbFBLAQItABQABgAIAAAAIQBzm59s2QAA&#10;AAMBAAAPAAAAAAAAAAAAAAAAAGkEAABkcnMvZG93bnJldi54bWxQSwUGAAAAAAQABADzAAAAbwUA&#10;AAAA&#10;" filled="f" stroked="f">
              <v:textbox style="mso-fit-shape-to-text:t" inset="20pt,15pt,0,0">
                <w:txbxContent>
                  <w:p w14:paraId="6E8B35F7" w14:textId="6DA22982" w:rsidR="001F5E87" w:rsidRPr="001F5E87" w:rsidRDefault="001F5E87" w:rsidP="001F5E87">
                    <w:pPr>
                      <w:rPr>
                        <w:rFonts w:ascii="Calibri" w:eastAsia="Calibri" w:hAnsi="Calibri" w:cs="Calibri"/>
                        <w:noProof/>
                        <w:sz w:val="24"/>
                        <w:szCs w:val="24"/>
                      </w:rPr>
                    </w:pPr>
                    <w:r>
                      <w:rPr>
                        <w:rFonts w:ascii="Calibri" w:hAnsi="Calibri"/>
                        <w:sz w:val="24"/>
                      </w:rPr>
                      <w:t>EBA Ordinarie användning</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B18FA" w14:textId="0DC306E7" w:rsidR="000B66BC" w:rsidRDefault="001F5E87">
    <w:pPr>
      <w:pStyle w:val="Header"/>
      <w:tabs>
        <w:tab w:val="clear" w:pos="8306"/>
        <w:tab w:val="right" w:pos="9072"/>
      </w:tabs>
      <w:jc w:val="right"/>
      <w:rPr>
        <w:noProof/>
      </w:rPr>
    </w:pPr>
    <w:r>
      <w:rPr>
        <w:noProof/>
      </w:rPr>
      <mc:AlternateContent>
        <mc:Choice Requires="wps">
          <w:drawing>
            <wp:anchor distT="0" distB="0" distL="0" distR="0" simplePos="0" relativeHeight="251658244" behindDoc="0" locked="0" layoutInCell="1" allowOverlap="1" wp14:anchorId="0DEC7D00" wp14:editId="002029F1">
              <wp:simplePos x="635" y="635"/>
              <wp:positionH relativeFrom="page">
                <wp:align>left</wp:align>
              </wp:positionH>
              <wp:positionV relativeFrom="page">
                <wp:align>top</wp:align>
              </wp:positionV>
              <wp:extent cx="443865" cy="443865"/>
              <wp:effectExtent l="0" t="0" r="3175" b="4445"/>
              <wp:wrapNone/>
              <wp:docPr id="284483510" name="Text Box 284483510"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079A16" w14:textId="68AF0758" w:rsidR="001F5E87" w:rsidRPr="001F5E87" w:rsidRDefault="001F5E87" w:rsidP="001F5E87">
                          <w:pPr>
                            <w:rPr>
                              <w:rFonts w:ascii="Calibri" w:eastAsia="Calibri" w:hAnsi="Calibri" w:cs="Calibri"/>
                              <w:noProof/>
                              <w:sz w:val="24"/>
                              <w:szCs w:val="24"/>
                            </w:rPr>
                          </w:pPr>
                          <w:r>
                            <w:rPr>
                              <w:rFonts w:ascii="Calibri" w:hAnsi="Calibri"/>
                              <w:sz w:val="24"/>
                            </w:rPr>
                            <w:t>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DEC7D00" id="_x0000_t202" coordsize="21600,21600" o:spt="202" path="m,l,21600r21600,l21600,xe">
              <v:stroke joinstyle="miter"/>
              <v:path gradientshapeok="t" o:connecttype="rect"/>
            </v:shapetype>
            <v:shape id="Text Box 284483510" o:spid="_x0000_s1031" type="#_x0000_t202" alt="EBA Ordinarie användning" style="position:absolute;left:0;text-align:left;margin-left:0;margin-top:0;width:34.95pt;height:34.95pt;z-index:25165824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ORG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K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DqxORGDwIAACEE&#10;AAAOAAAAAAAAAAAAAAAAAC4CAABkcnMvZTJvRG9jLnhtbFBLAQItABQABgAIAAAAIQBzm59s2QAA&#10;AAMBAAAPAAAAAAAAAAAAAAAAAGkEAABkcnMvZG93bnJldi54bWxQSwUGAAAAAAQABADzAAAAbwUA&#10;AAAA&#10;" filled="f" stroked="f">
              <v:textbox style="mso-fit-shape-to-text:t" inset="20pt,15pt,0,0">
                <w:txbxContent>
                  <w:p w14:paraId="32079A16" w14:textId="68AF0758" w:rsidR="001F5E87" w:rsidRPr="001F5E87" w:rsidRDefault="001F5E87" w:rsidP="001F5E87">
                    <w:pPr>
                      <w:rPr>
                        <w:rFonts w:ascii="Calibri" w:eastAsia="Calibri" w:hAnsi="Calibri" w:cs="Calibri"/>
                        <w:noProof/>
                        <w:sz w:val="24"/>
                        <w:szCs w:val="24"/>
                      </w:rPr>
                    </w:pPr>
                    <w:r>
                      <w:rPr>
                        <w:rFonts w:ascii="Calibri" w:hAnsi="Calibri"/>
                        <w:sz w:val="24"/>
                      </w:rPr>
                      <w:t>EBA Ordinarie användning</w:t>
                    </w:r>
                  </w:p>
                </w:txbxContent>
              </v:textbox>
              <w10:wrap anchorx="page" anchory="page"/>
            </v:shape>
          </w:pict>
        </mc:Fallback>
      </mc:AlternateContent>
    </w:r>
    <w:r>
      <w:rPr>
        <w:noProof/>
      </w:rPr>
      <mc:AlternateContent>
        <mc:Choice Requires="wps">
          <w:drawing>
            <wp:anchor distT="4294967294" distB="4294967294" distL="114300" distR="114300" simplePos="0" relativeHeight="251658240"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7861747" id="_x0000_t32" coordsize="21600,21600" o:spt="32" o:oned="t" path="m,l21600,21600e" filled="f">
              <v:path arrowok="t" fillok="f" o:connecttype="none"/>
              <o:lock v:ext="edit" shapetype="t"/>
            </v:shapetype>
            <v:shape id="Straight Arrow Connector 1" o:spid="_x0000_s1026" type="#_x0000_t32" style="position:absolute;margin-left:70.6pt;margin-top:42.7pt;width:453.55pt;height:0;flip:x;z-index:-251658240;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" o:allowincell="f" strokecolor="#48748f [3204]">
              <w10:wrap anchorx="page" anchory="page"/>
              <w10:anchorlock/>
            </v:shape>
          </w:pict>
        </mc:Fallback>
      </mc:AlternateContent>
    </w:r>
  </w:p>
  <w:p w14:paraId="530A286E" w14:textId="77777777" w:rsidR="000B66BC" w:rsidRDefault="000B66BC">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7C64F8"/>
    <w:multiLevelType w:val="hybridMultilevel"/>
    <w:tmpl w:val="94C49C90"/>
    <w:lvl w:ilvl="0" w:tplc="BDAACF18">
      <w:start w:val="1"/>
      <w:numFmt w:val="decimal"/>
      <w:lvlText w:val="%1)"/>
      <w:lvlJc w:val="left"/>
      <w:pPr>
        <w:ind w:left="1440" w:hanging="360"/>
      </w:pPr>
    </w:lvl>
    <w:lvl w:ilvl="1" w:tplc="7E8AF492">
      <w:start w:val="1"/>
      <w:numFmt w:val="decimal"/>
      <w:lvlText w:val="%2)"/>
      <w:lvlJc w:val="left"/>
      <w:pPr>
        <w:ind w:left="1440" w:hanging="360"/>
      </w:pPr>
    </w:lvl>
    <w:lvl w:ilvl="2" w:tplc="39D2B360">
      <w:start w:val="1"/>
      <w:numFmt w:val="decimal"/>
      <w:lvlText w:val="%3)"/>
      <w:lvlJc w:val="left"/>
      <w:pPr>
        <w:ind w:left="1440" w:hanging="360"/>
      </w:pPr>
    </w:lvl>
    <w:lvl w:ilvl="3" w:tplc="F0801F8E">
      <w:start w:val="1"/>
      <w:numFmt w:val="decimal"/>
      <w:lvlText w:val="%4)"/>
      <w:lvlJc w:val="left"/>
      <w:pPr>
        <w:ind w:left="1440" w:hanging="360"/>
      </w:pPr>
    </w:lvl>
    <w:lvl w:ilvl="4" w:tplc="0F92C66E">
      <w:start w:val="1"/>
      <w:numFmt w:val="decimal"/>
      <w:lvlText w:val="%5)"/>
      <w:lvlJc w:val="left"/>
      <w:pPr>
        <w:ind w:left="1440" w:hanging="360"/>
      </w:pPr>
    </w:lvl>
    <w:lvl w:ilvl="5" w:tplc="E3B6500E">
      <w:start w:val="1"/>
      <w:numFmt w:val="decimal"/>
      <w:lvlText w:val="%6)"/>
      <w:lvlJc w:val="left"/>
      <w:pPr>
        <w:ind w:left="1440" w:hanging="360"/>
      </w:pPr>
    </w:lvl>
    <w:lvl w:ilvl="6" w:tplc="A2C4DFB4">
      <w:start w:val="1"/>
      <w:numFmt w:val="decimal"/>
      <w:lvlText w:val="%7)"/>
      <w:lvlJc w:val="left"/>
      <w:pPr>
        <w:ind w:left="1440" w:hanging="360"/>
      </w:pPr>
    </w:lvl>
    <w:lvl w:ilvl="7" w:tplc="B6D0C224">
      <w:start w:val="1"/>
      <w:numFmt w:val="decimal"/>
      <w:lvlText w:val="%8)"/>
      <w:lvlJc w:val="left"/>
      <w:pPr>
        <w:ind w:left="1440" w:hanging="360"/>
      </w:pPr>
    </w:lvl>
    <w:lvl w:ilvl="8" w:tplc="70167148">
      <w:start w:val="1"/>
      <w:numFmt w:val="decimal"/>
      <w:lvlText w:val="%9)"/>
      <w:lvlJc w:val="left"/>
      <w:pPr>
        <w:ind w:left="1440" w:hanging="360"/>
      </w:pPr>
    </w:lvl>
  </w:abstractNum>
  <w:abstractNum w:abstractNumId="8" w15:restartNumberingAfterBreak="0">
    <w:nsid w:val="1B251DF8"/>
    <w:multiLevelType w:val="hybridMultilevel"/>
    <w:tmpl w:val="F4945D44"/>
    <w:lvl w:ilvl="0" w:tplc="83B40950">
      <w:start w:val="1"/>
      <w:numFmt w:val="bullet"/>
      <w:lvlText w:val=""/>
      <w:lvlJc w:val="left"/>
      <w:pPr>
        <w:ind w:left="720" w:hanging="360"/>
      </w:pPr>
      <w:rPr>
        <w:rFonts w:ascii="Symbol" w:hAnsi="Symbol"/>
      </w:rPr>
    </w:lvl>
    <w:lvl w:ilvl="1" w:tplc="835CE6EA">
      <w:start w:val="1"/>
      <w:numFmt w:val="bullet"/>
      <w:lvlText w:val=""/>
      <w:lvlJc w:val="left"/>
      <w:pPr>
        <w:ind w:left="720" w:hanging="360"/>
      </w:pPr>
      <w:rPr>
        <w:rFonts w:ascii="Symbol" w:hAnsi="Symbol"/>
      </w:rPr>
    </w:lvl>
    <w:lvl w:ilvl="2" w:tplc="57C234AA">
      <w:start w:val="1"/>
      <w:numFmt w:val="bullet"/>
      <w:lvlText w:val=""/>
      <w:lvlJc w:val="left"/>
      <w:pPr>
        <w:ind w:left="720" w:hanging="360"/>
      </w:pPr>
      <w:rPr>
        <w:rFonts w:ascii="Symbol" w:hAnsi="Symbol"/>
      </w:rPr>
    </w:lvl>
    <w:lvl w:ilvl="3" w:tplc="DE38A6D4">
      <w:start w:val="1"/>
      <w:numFmt w:val="bullet"/>
      <w:lvlText w:val=""/>
      <w:lvlJc w:val="left"/>
      <w:pPr>
        <w:ind w:left="720" w:hanging="360"/>
      </w:pPr>
      <w:rPr>
        <w:rFonts w:ascii="Symbol" w:hAnsi="Symbol"/>
      </w:rPr>
    </w:lvl>
    <w:lvl w:ilvl="4" w:tplc="B560BA92">
      <w:start w:val="1"/>
      <w:numFmt w:val="bullet"/>
      <w:lvlText w:val=""/>
      <w:lvlJc w:val="left"/>
      <w:pPr>
        <w:ind w:left="720" w:hanging="360"/>
      </w:pPr>
      <w:rPr>
        <w:rFonts w:ascii="Symbol" w:hAnsi="Symbol"/>
      </w:rPr>
    </w:lvl>
    <w:lvl w:ilvl="5" w:tplc="FB6E752A">
      <w:start w:val="1"/>
      <w:numFmt w:val="bullet"/>
      <w:lvlText w:val=""/>
      <w:lvlJc w:val="left"/>
      <w:pPr>
        <w:ind w:left="720" w:hanging="360"/>
      </w:pPr>
      <w:rPr>
        <w:rFonts w:ascii="Symbol" w:hAnsi="Symbol"/>
      </w:rPr>
    </w:lvl>
    <w:lvl w:ilvl="6" w:tplc="454CD416">
      <w:start w:val="1"/>
      <w:numFmt w:val="bullet"/>
      <w:lvlText w:val=""/>
      <w:lvlJc w:val="left"/>
      <w:pPr>
        <w:ind w:left="720" w:hanging="360"/>
      </w:pPr>
      <w:rPr>
        <w:rFonts w:ascii="Symbol" w:hAnsi="Symbol"/>
      </w:rPr>
    </w:lvl>
    <w:lvl w:ilvl="7" w:tplc="EDFA14EA">
      <w:start w:val="1"/>
      <w:numFmt w:val="bullet"/>
      <w:lvlText w:val=""/>
      <w:lvlJc w:val="left"/>
      <w:pPr>
        <w:ind w:left="720" w:hanging="360"/>
      </w:pPr>
      <w:rPr>
        <w:rFonts w:ascii="Symbol" w:hAnsi="Symbol"/>
      </w:rPr>
    </w:lvl>
    <w:lvl w:ilvl="8" w:tplc="D9D20428">
      <w:start w:val="1"/>
      <w:numFmt w:val="bullet"/>
      <w:lvlText w:val=""/>
      <w:lvlJc w:val="left"/>
      <w:pPr>
        <w:ind w:left="720" w:hanging="360"/>
      </w:pPr>
      <w:rPr>
        <w:rFonts w:ascii="Symbol" w:hAnsi="Symbol"/>
      </w:rPr>
    </w:lvl>
  </w:abstractNum>
  <w:abstractNum w:abstractNumId="9"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1"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3"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4"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5"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2"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53330B4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6"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8"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0"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1"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2"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7" w15:restartNumberingAfterBreak="0">
    <w:nsid w:val="6A237D39"/>
    <w:multiLevelType w:val="hybridMultilevel"/>
    <w:tmpl w:val="517C8AE6"/>
    <w:lvl w:ilvl="0" w:tplc="3A5C5BF2">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6BD76F86"/>
    <w:multiLevelType w:val="hybridMultilevel"/>
    <w:tmpl w:val="7CDEB7F8"/>
    <w:lvl w:ilvl="0" w:tplc="2510378A">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0"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2"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4"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5"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6"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725761463">
    <w:abstractNumId w:val="0"/>
  </w:num>
  <w:num w:numId="2" w16cid:durableId="970552445">
    <w:abstractNumId w:val="12"/>
  </w:num>
  <w:num w:numId="3" w16cid:durableId="1400708803">
    <w:abstractNumId w:val="24"/>
  </w:num>
  <w:num w:numId="4" w16cid:durableId="1837459398">
    <w:abstractNumId w:val="10"/>
  </w:num>
  <w:num w:numId="5" w16cid:durableId="509099342">
    <w:abstractNumId w:val="3"/>
  </w:num>
  <w:num w:numId="6" w16cid:durableId="694623396">
    <w:abstractNumId w:val="53"/>
  </w:num>
  <w:num w:numId="7" w16cid:durableId="1525746459">
    <w:abstractNumId w:val="1"/>
  </w:num>
  <w:num w:numId="8" w16cid:durableId="1683117819">
    <w:abstractNumId w:val="38"/>
  </w:num>
  <w:num w:numId="9" w16cid:durableId="454295772">
    <w:abstractNumId w:val="52"/>
  </w:num>
  <w:num w:numId="10" w16cid:durableId="1975597212">
    <w:abstractNumId w:val="26"/>
  </w:num>
  <w:num w:numId="11" w16cid:durableId="536938429">
    <w:abstractNumId w:val="45"/>
  </w:num>
  <w:num w:numId="12" w16cid:durableId="1994020000">
    <w:abstractNumId w:val="22"/>
  </w:num>
  <w:num w:numId="13" w16cid:durableId="1287465312">
    <w:abstractNumId w:val="51"/>
  </w:num>
  <w:num w:numId="14" w16cid:durableId="479886270">
    <w:abstractNumId w:val="9"/>
  </w:num>
  <w:num w:numId="15" w16cid:durableId="400566751">
    <w:abstractNumId w:val="40"/>
  </w:num>
  <w:num w:numId="16" w16cid:durableId="1098134752">
    <w:abstractNumId w:val="21"/>
  </w:num>
  <w:num w:numId="17" w16cid:durableId="288359321">
    <w:abstractNumId w:val="31"/>
  </w:num>
  <w:num w:numId="18" w16cid:durableId="1911233015">
    <w:abstractNumId w:val="17"/>
  </w:num>
  <w:num w:numId="19" w16cid:durableId="1893155877">
    <w:abstractNumId w:val="43"/>
  </w:num>
  <w:num w:numId="20" w16cid:durableId="2088111212">
    <w:abstractNumId w:val="37"/>
  </w:num>
  <w:num w:numId="21" w16cid:durableId="683440504">
    <w:abstractNumId w:val="19"/>
  </w:num>
  <w:num w:numId="22" w16cid:durableId="1515611626">
    <w:abstractNumId w:val="30"/>
  </w:num>
  <w:num w:numId="23" w16cid:durableId="1549948508">
    <w:abstractNumId w:val="46"/>
  </w:num>
  <w:num w:numId="24" w16cid:durableId="267540377">
    <w:abstractNumId w:val="5"/>
  </w:num>
  <w:num w:numId="25" w16cid:durableId="1875342958">
    <w:abstractNumId w:val="34"/>
  </w:num>
  <w:num w:numId="26" w16cid:durableId="2028829910">
    <w:abstractNumId w:val="18"/>
  </w:num>
  <w:num w:numId="27" w16cid:durableId="32312066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102812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705978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400673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85228827">
    <w:abstractNumId w:val="35"/>
  </w:num>
  <w:num w:numId="32" w16cid:durableId="783109350">
    <w:abstractNumId w:val="2"/>
  </w:num>
  <w:num w:numId="33" w16cid:durableId="1779596442">
    <w:abstractNumId w:val="20"/>
  </w:num>
  <w:num w:numId="34" w16cid:durableId="820077853">
    <w:abstractNumId w:val="39"/>
  </w:num>
  <w:num w:numId="35" w16cid:durableId="1935429718">
    <w:abstractNumId w:val="11"/>
  </w:num>
  <w:num w:numId="36" w16cid:durableId="1063987486">
    <w:abstractNumId w:val="13"/>
    <w:lvlOverride w:ilvl="0">
      <w:startOverride w:val="1"/>
    </w:lvlOverride>
    <w:lvlOverride w:ilvl="1"/>
    <w:lvlOverride w:ilvl="2"/>
    <w:lvlOverride w:ilvl="3"/>
    <w:lvlOverride w:ilvl="4"/>
    <w:lvlOverride w:ilvl="5"/>
    <w:lvlOverride w:ilvl="6"/>
    <w:lvlOverride w:ilvl="7"/>
    <w:lvlOverride w:ilvl="8"/>
  </w:num>
  <w:num w:numId="37" w16cid:durableId="6677132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7794979">
    <w:abstractNumId w:val="13"/>
  </w:num>
  <w:num w:numId="39" w16cid:durableId="591358563">
    <w:abstractNumId w:val="25"/>
  </w:num>
  <w:num w:numId="40" w16cid:durableId="1876848649">
    <w:abstractNumId w:val="23"/>
  </w:num>
  <w:num w:numId="41" w16cid:durableId="2043825609">
    <w:abstractNumId w:val="32"/>
  </w:num>
  <w:num w:numId="42" w16cid:durableId="642925041">
    <w:abstractNumId w:val="33"/>
  </w:num>
  <w:num w:numId="43" w16cid:durableId="1028723582">
    <w:abstractNumId w:val="41"/>
  </w:num>
  <w:num w:numId="44" w16cid:durableId="1277980879">
    <w:abstractNumId w:val="54"/>
  </w:num>
  <w:num w:numId="45" w16cid:durableId="615063052">
    <w:abstractNumId w:val="44"/>
  </w:num>
  <w:num w:numId="46" w16cid:durableId="2133399515">
    <w:abstractNumId w:val="28"/>
  </w:num>
  <w:num w:numId="47" w16cid:durableId="1752845016">
    <w:abstractNumId w:val="42"/>
  </w:num>
  <w:num w:numId="48" w16cid:durableId="2105374589">
    <w:abstractNumId w:val="55"/>
  </w:num>
  <w:num w:numId="49" w16cid:durableId="1642080444">
    <w:abstractNumId w:val="15"/>
  </w:num>
  <w:num w:numId="50" w16cid:durableId="1966429305">
    <w:abstractNumId w:val="29"/>
  </w:num>
  <w:num w:numId="51" w16cid:durableId="105581313">
    <w:abstractNumId w:val="50"/>
  </w:num>
  <w:num w:numId="52" w16cid:durableId="1384014742">
    <w:abstractNumId w:val="48"/>
  </w:num>
  <w:num w:numId="53" w16cid:durableId="379670167">
    <w:abstractNumId w:val="27"/>
  </w:num>
  <w:num w:numId="54" w16cid:durableId="330643579">
    <w:abstractNumId w:val="14"/>
  </w:num>
  <w:num w:numId="55" w16cid:durableId="2113041288">
    <w:abstractNumId w:val="4"/>
  </w:num>
  <w:num w:numId="56" w16cid:durableId="561603822">
    <w:abstractNumId w:val="36"/>
  </w:num>
  <w:num w:numId="57" w16cid:durableId="1460760637">
    <w:abstractNumId w:val="6"/>
  </w:num>
  <w:num w:numId="58" w16cid:durableId="1499466624">
    <w:abstractNumId w:val="19"/>
  </w:num>
  <w:num w:numId="59" w16cid:durableId="1937980521">
    <w:abstractNumId w:val="8"/>
  </w:num>
  <w:num w:numId="60" w16cid:durableId="680665167">
    <w:abstractNumId w:val="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sv-SE" w:vendorID="64" w:dllVersion="0" w:nlCheck="1" w:checkStyle="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2050"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2719"/>
    <w:rsid w:val="0001312C"/>
    <w:rsid w:val="00014E10"/>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417D"/>
    <w:rsid w:val="0003735D"/>
    <w:rsid w:val="00037947"/>
    <w:rsid w:val="00043D0E"/>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2D4"/>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275"/>
    <w:rsid w:val="00090312"/>
    <w:rsid w:val="00092325"/>
    <w:rsid w:val="00092348"/>
    <w:rsid w:val="00092BB7"/>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4F70"/>
    <w:rsid w:val="000B5580"/>
    <w:rsid w:val="000B5761"/>
    <w:rsid w:val="000B659F"/>
    <w:rsid w:val="000B66BC"/>
    <w:rsid w:val="000B74A7"/>
    <w:rsid w:val="000B7D01"/>
    <w:rsid w:val="000C01E8"/>
    <w:rsid w:val="000C04BB"/>
    <w:rsid w:val="000C0B89"/>
    <w:rsid w:val="000C0D0F"/>
    <w:rsid w:val="000C216B"/>
    <w:rsid w:val="000C3F11"/>
    <w:rsid w:val="000C488E"/>
    <w:rsid w:val="000C5068"/>
    <w:rsid w:val="000C6AAC"/>
    <w:rsid w:val="000C6F73"/>
    <w:rsid w:val="000D0106"/>
    <w:rsid w:val="000D1636"/>
    <w:rsid w:val="000D1827"/>
    <w:rsid w:val="000D1E6C"/>
    <w:rsid w:val="000D3973"/>
    <w:rsid w:val="000D44A0"/>
    <w:rsid w:val="000D5576"/>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0E59"/>
    <w:rsid w:val="000F1F74"/>
    <w:rsid w:val="000F26EF"/>
    <w:rsid w:val="000F4992"/>
    <w:rsid w:val="000F4A4A"/>
    <w:rsid w:val="000F4B74"/>
    <w:rsid w:val="000F5958"/>
    <w:rsid w:val="000F5F49"/>
    <w:rsid w:val="000F74E8"/>
    <w:rsid w:val="000F7613"/>
    <w:rsid w:val="00100493"/>
    <w:rsid w:val="001005A7"/>
    <w:rsid w:val="00103902"/>
    <w:rsid w:val="00103AE3"/>
    <w:rsid w:val="00103B23"/>
    <w:rsid w:val="00106F88"/>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29D"/>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06A"/>
    <w:rsid w:val="001407E1"/>
    <w:rsid w:val="00141CCF"/>
    <w:rsid w:val="00141FF2"/>
    <w:rsid w:val="0014246F"/>
    <w:rsid w:val="00142881"/>
    <w:rsid w:val="00142ED4"/>
    <w:rsid w:val="00143338"/>
    <w:rsid w:val="00143A3F"/>
    <w:rsid w:val="00143C6A"/>
    <w:rsid w:val="0014449A"/>
    <w:rsid w:val="00145BAD"/>
    <w:rsid w:val="0014694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359"/>
    <w:rsid w:val="001B2410"/>
    <w:rsid w:val="001B2D84"/>
    <w:rsid w:val="001B34D0"/>
    <w:rsid w:val="001B3BF0"/>
    <w:rsid w:val="001B7535"/>
    <w:rsid w:val="001C0756"/>
    <w:rsid w:val="001C123F"/>
    <w:rsid w:val="001C2254"/>
    <w:rsid w:val="001C2537"/>
    <w:rsid w:val="001C27BF"/>
    <w:rsid w:val="001C31A7"/>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518"/>
    <w:rsid w:val="001E19C2"/>
    <w:rsid w:val="001E1E08"/>
    <w:rsid w:val="001E41BF"/>
    <w:rsid w:val="001E4710"/>
    <w:rsid w:val="001E4BA5"/>
    <w:rsid w:val="001E5373"/>
    <w:rsid w:val="001E58D0"/>
    <w:rsid w:val="001E5A9A"/>
    <w:rsid w:val="001E5F9C"/>
    <w:rsid w:val="001E773E"/>
    <w:rsid w:val="001E7ADE"/>
    <w:rsid w:val="001F0676"/>
    <w:rsid w:val="001F0ECD"/>
    <w:rsid w:val="001F28C3"/>
    <w:rsid w:val="001F28E7"/>
    <w:rsid w:val="001F3810"/>
    <w:rsid w:val="001F3E84"/>
    <w:rsid w:val="001F4281"/>
    <w:rsid w:val="001F5E87"/>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32E8"/>
    <w:rsid w:val="002143BB"/>
    <w:rsid w:val="00214915"/>
    <w:rsid w:val="002149E4"/>
    <w:rsid w:val="00214D62"/>
    <w:rsid w:val="002161E2"/>
    <w:rsid w:val="002162B5"/>
    <w:rsid w:val="002172CC"/>
    <w:rsid w:val="00217B44"/>
    <w:rsid w:val="00217D1F"/>
    <w:rsid w:val="00220AA0"/>
    <w:rsid w:val="00222753"/>
    <w:rsid w:val="0022283C"/>
    <w:rsid w:val="00222CA0"/>
    <w:rsid w:val="0022597B"/>
    <w:rsid w:val="002262E5"/>
    <w:rsid w:val="00227BD1"/>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6A51"/>
    <w:rsid w:val="00246CF2"/>
    <w:rsid w:val="00247954"/>
    <w:rsid w:val="002509B1"/>
    <w:rsid w:val="00252527"/>
    <w:rsid w:val="00252F75"/>
    <w:rsid w:val="00253D80"/>
    <w:rsid w:val="0025493F"/>
    <w:rsid w:val="00254983"/>
    <w:rsid w:val="00255202"/>
    <w:rsid w:val="0025615F"/>
    <w:rsid w:val="002573FC"/>
    <w:rsid w:val="002576E1"/>
    <w:rsid w:val="00260D4F"/>
    <w:rsid w:val="00261E81"/>
    <w:rsid w:val="00261FE6"/>
    <w:rsid w:val="0026270F"/>
    <w:rsid w:val="00262895"/>
    <w:rsid w:val="0026336E"/>
    <w:rsid w:val="00264409"/>
    <w:rsid w:val="002662F0"/>
    <w:rsid w:val="002706B3"/>
    <w:rsid w:val="00270DBA"/>
    <w:rsid w:val="002710BE"/>
    <w:rsid w:val="00272017"/>
    <w:rsid w:val="00272210"/>
    <w:rsid w:val="00272715"/>
    <w:rsid w:val="00272BDB"/>
    <w:rsid w:val="0027305C"/>
    <w:rsid w:val="0027308B"/>
    <w:rsid w:val="002736E3"/>
    <w:rsid w:val="00275254"/>
    <w:rsid w:val="00275423"/>
    <w:rsid w:val="00275435"/>
    <w:rsid w:val="0027548E"/>
    <w:rsid w:val="00276087"/>
    <w:rsid w:val="002769F1"/>
    <w:rsid w:val="00276DB0"/>
    <w:rsid w:val="00280AF8"/>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3521"/>
    <w:rsid w:val="002A3F7D"/>
    <w:rsid w:val="002A536D"/>
    <w:rsid w:val="002A54FF"/>
    <w:rsid w:val="002A6712"/>
    <w:rsid w:val="002A6ADE"/>
    <w:rsid w:val="002A6B55"/>
    <w:rsid w:val="002B009A"/>
    <w:rsid w:val="002B071B"/>
    <w:rsid w:val="002B0879"/>
    <w:rsid w:val="002B0936"/>
    <w:rsid w:val="002B0A4B"/>
    <w:rsid w:val="002B0AAC"/>
    <w:rsid w:val="002B2DA6"/>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D7E94"/>
    <w:rsid w:val="002E044A"/>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398"/>
    <w:rsid w:val="003027FE"/>
    <w:rsid w:val="00302FB6"/>
    <w:rsid w:val="003032DF"/>
    <w:rsid w:val="0030524E"/>
    <w:rsid w:val="0030642D"/>
    <w:rsid w:val="00307448"/>
    <w:rsid w:val="00307B4B"/>
    <w:rsid w:val="00310A8D"/>
    <w:rsid w:val="003113EE"/>
    <w:rsid w:val="00314129"/>
    <w:rsid w:val="00314716"/>
    <w:rsid w:val="00315160"/>
    <w:rsid w:val="00316050"/>
    <w:rsid w:val="00316309"/>
    <w:rsid w:val="003164FD"/>
    <w:rsid w:val="003167BD"/>
    <w:rsid w:val="00316905"/>
    <w:rsid w:val="00317861"/>
    <w:rsid w:val="00317BCB"/>
    <w:rsid w:val="00321B6C"/>
    <w:rsid w:val="00321D7D"/>
    <w:rsid w:val="00322183"/>
    <w:rsid w:val="003231FC"/>
    <w:rsid w:val="0032369D"/>
    <w:rsid w:val="003236C2"/>
    <w:rsid w:val="00324840"/>
    <w:rsid w:val="00324993"/>
    <w:rsid w:val="003260D7"/>
    <w:rsid w:val="003264FC"/>
    <w:rsid w:val="0032786A"/>
    <w:rsid w:val="0032789D"/>
    <w:rsid w:val="003310AE"/>
    <w:rsid w:val="00332838"/>
    <w:rsid w:val="003335A9"/>
    <w:rsid w:val="00334535"/>
    <w:rsid w:val="0033504B"/>
    <w:rsid w:val="003353A9"/>
    <w:rsid w:val="003355CE"/>
    <w:rsid w:val="003358B6"/>
    <w:rsid w:val="0033601F"/>
    <w:rsid w:val="00336123"/>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3381"/>
    <w:rsid w:val="00364DD5"/>
    <w:rsid w:val="0037059A"/>
    <w:rsid w:val="003706AB"/>
    <w:rsid w:val="00371745"/>
    <w:rsid w:val="003718C7"/>
    <w:rsid w:val="0037239B"/>
    <w:rsid w:val="003723CD"/>
    <w:rsid w:val="003729D7"/>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6B"/>
    <w:rsid w:val="00390B7F"/>
    <w:rsid w:val="00391EF9"/>
    <w:rsid w:val="00392036"/>
    <w:rsid w:val="00392B44"/>
    <w:rsid w:val="003937EE"/>
    <w:rsid w:val="00393D7A"/>
    <w:rsid w:val="00394D11"/>
    <w:rsid w:val="00395FEB"/>
    <w:rsid w:val="0039655E"/>
    <w:rsid w:val="00397188"/>
    <w:rsid w:val="00397B00"/>
    <w:rsid w:val="003A13D1"/>
    <w:rsid w:val="003A35DF"/>
    <w:rsid w:val="003A3804"/>
    <w:rsid w:val="003A3F9E"/>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1A8"/>
    <w:rsid w:val="003B555D"/>
    <w:rsid w:val="003B5CD9"/>
    <w:rsid w:val="003B61F5"/>
    <w:rsid w:val="003B79B4"/>
    <w:rsid w:val="003B7BEC"/>
    <w:rsid w:val="003B7E48"/>
    <w:rsid w:val="003C0524"/>
    <w:rsid w:val="003C076E"/>
    <w:rsid w:val="003C0937"/>
    <w:rsid w:val="003C2251"/>
    <w:rsid w:val="003C4CC8"/>
    <w:rsid w:val="003C544C"/>
    <w:rsid w:val="003C6064"/>
    <w:rsid w:val="003C66FA"/>
    <w:rsid w:val="003C6829"/>
    <w:rsid w:val="003C7123"/>
    <w:rsid w:val="003C74D9"/>
    <w:rsid w:val="003C7E9B"/>
    <w:rsid w:val="003D04AD"/>
    <w:rsid w:val="003D0536"/>
    <w:rsid w:val="003D118F"/>
    <w:rsid w:val="003D12C1"/>
    <w:rsid w:val="003D2141"/>
    <w:rsid w:val="003D433B"/>
    <w:rsid w:val="003D54ED"/>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733"/>
    <w:rsid w:val="003F7811"/>
    <w:rsid w:val="00400766"/>
    <w:rsid w:val="0040096C"/>
    <w:rsid w:val="0040194F"/>
    <w:rsid w:val="00401A21"/>
    <w:rsid w:val="00403798"/>
    <w:rsid w:val="00404AA3"/>
    <w:rsid w:val="004050A1"/>
    <w:rsid w:val="004052F0"/>
    <w:rsid w:val="004055B3"/>
    <w:rsid w:val="00406605"/>
    <w:rsid w:val="00406DB7"/>
    <w:rsid w:val="00407426"/>
    <w:rsid w:val="00407A0F"/>
    <w:rsid w:val="00410E47"/>
    <w:rsid w:val="004127BF"/>
    <w:rsid w:val="00412A18"/>
    <w:rsid w:val="00412D6E"/>
    <w:rsid w:val="00413A7F"/>
    <w:rsid w:val="004148B2"/>
    <w:rsid w:val="00414EB6"/>
    <w:rsid w:val="00415D69"/>
    <w:rsid w:val="00416245"/>
    <w:rsid w:val="0041676D"/>
    <w:rsid w:val="00416B4E"/>
    <w:rsid w:val="00417210"/>
    <w:rsid w:val="004178C8"/>
    <w:rsid w:val="00421540"/>
    <w:rsid w:val="004220C8"/>
    <w:rsid w:val="004229C1"/>
    <w:rsid w:val="00422C76"/>
    <w:rsid w:val="00423769"/>
    <w:rsid w:val="0042419F"/>
    <w:rsid w:val="004242B8"/>
    <w:rsid w:val="00424A0A"/>
    <w:rsid w:val="00424BB8"/>
    <w:rsid w:val="00424F61"/>
    <w:rsid w:val="004250C0"/>
    <w:rsid w:val="00426A00"/>
    <w:rsid w:val="00430CAC"/>
    <w:rsid w:val="004330CD"/>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96E"/>
    <w:rsid w:val="00455A2F"/>
    <w:rsid w:val="00456832"/>
    <w:rsid w:val="004573B6"/>
    <w:rsid w:val="00460502"/>
    <w:rsid w:val="004612B9"/>
    <w:rsid w:val="004617AF"/>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394"/>
    <w:rsid w:val="00476B94"/>
    <w:rsid w:val="00477D43"/>
    <w:rsid w:val="004804A2"/>
    <w:rsid w:val="00481854"/>
    <w:rsid w:val="004818ED"/>
    <w:rsid w:val="00482670"/>
    <w:rsid w:val="00483334"/>
    <w:rsid w:val="004835BD"/>
    <w:rsid w:val="00484555"/>
    <w:rsid w:val="0048526F"/>
    <w:rsid w:val="00485706"/>
    <w:rsid w:val="00486D4C"/>
    <w:rsid w:val="00487FE2"/>
    <w:rsid w:val="0049025A"/>
    <w:rsid w:val="00491D9A"/>
    <w:rsid w:val="00491F2C"/>
    <w:rsid w:val="00492435"/>
    <w:rsid w:val="004924B2"/>
    <w:rsid w:val="0049459B"/>
    <w:rsid w:val="00494A67"/>
    <w:rsid w:val="0049578C"/>
    <w:rsid w:val="004968DF"/>
    <w:rsid w:val="00496A87"/>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181"/>
    <w:rsid w:val="004B1ADF"/>
    <w:rsid w:val="004B1D31"/>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0801"/>
    <w:rsid w:val="004D12DC"/>
    <w:rsid w:val="004D14B5"/>
    <w:rsid w:val="004D223F"/>
    <w:rsid w:val="004D2325"/>
    <w:rsid w:val="004D36F1"/>
    <w:rsid w:val="004D3E1E"/>
    <w:rsid w:val="004D47F0"/>
    <w:rsid w:val="004D53AC"/>
    <w:rsid w:val="004D54B0"/>
    <w:rsid w:val="004D62D4"/>
    <w:rsid w:val="004D70D0"/>
    <w:rsid w:val="004D7A7E"/>
    <w:rsid w:val="004D7C73"/>
    <w:rsid w:val="004D7FD7"/>
    <w:rsid w:val="004E0132"/>
    <w:rsid w:val="004E043C"/>
    <w:rsid w:val="004E0DC5"/>
    <w:rsid w:val="004E100C"/>
    <w:rsid w:val="004E1CC0"/>
    <w:rsid w:val="004E204E"/>
    <w:rsid w:val="004E26E2"/>
    <w:rsid w:val="004E36C4"/>
    <w:rsid w:val="004E437E"/>
    <w:rsid w:val="004E59DD"/>
    <w:rsid w:val="004E6744"/>
    <w:rsid w:val="004F0060"/>
    <w:rsid w:val="004F038C"/>
    <w:rsid w:val="004F0B0E"/>
    <w:rsid w:val="004F0BFB"/>
    <w:rsid w:val="004F0C5D"/>
    <w:rsid w:val="004F39F5"/>
    <w:rsid w:val="004F3BC0"/>
    <w:rsid w:val="004F4212"/>
    <w:rsid w:val="004F49F6"/>
    <w:rsid w:val="004F4B70"/>
    <w:rsid w:val="004F6AF8"/>
    <w:rsid w:val="004F782C"/>
    <w:rsid w:val="00500508"/>
    <w:rsid w:val="00505096"/>
    <w:rsid w:val="00505AEE"/>
    <w:rsid w:val="00505D21"/>
    <w:rsid w:val="0050602F"/>
    <w:rsid w:val="005063DE"/>
    <w:rsid w:val="00506444"/>
    <w:rsid w:val="00506596"/>
    <w:rsid w:val="00506C3D"/>
    <w:rsid w:val="00507878"/>
    <w:rsid w:val="00510FE5"/>
    <w:rsid w:val="00511672"/>
    <w:rsid w:val="00512342"/>
    <w:rsid w:val="00512B5A"/>
    <w:rsid w:val="00513244"/>
    <w:rsid w:val="00514EAE"/>
    <w:rsid w:val="00515841"/>
    <w:rsid w:val="005170CA"/>
    <w:rsid w:val="00520804"/>
    <w:rsid w:val="00520E26"/>
    <w:rsid w:val="00521326"/>
    <w:rsid w:val="005230DE"/>
    <w:rsid w:val="00523570"/>
    <w:rsid w:val="005254CB"/>
    <w:rsid w:val="00526EBD"/>
    <w:rsid w:val="0053018F"/>
    <w:rsid w:val="00530472"/>
    <w:rsid w:val="00530B7F"/>
    <w:rsid w:val="005315D3"/>
    <w:rsid w:val="00531A77"/>
    <w:rsid w:val="00532674"/>
    <w:rsid w:val="00532B92"/>
    <w:rsid w:val="0053335C"/>
    <w:rsid w:val="005334AA"/>
    <w:rsid w:val="00534FED"/>
    <w:rsid w:val="005357EF"/>
    <w:rsid w:val="00535F08"/>
    <w:rsid w:val="005403C7"/>
    <w:rsid w:val="00540765"/>
    <w:rsid w:val="00541DA7"/>
    <w:rsid w:val="00542529"/>
    <w:rsid w:val="005426F2"/>
    <w:rsid w:val="00542741"/>
    <w:rsid w:val="005441C9"/>
    <w:rsid w:val="0054423D"/>
    <w:rsid w:val="00544664"/>
    <w:rsid w:val="00546848"/>
    <w:rsid w:val="00546D9F"/>
    <w:rsid w:val="005478C5"/>
    <w:rsid w:val="00550D82"/>
    <w:rsid w:val="00553B13"/>
    <w:rsid w:val="00554069"/>
    <w:rsid w:val="0055482B"/>
    <w:rsid w:val="005550ED"/>
    <w:rsid w:val="005555FD"/>
    <w:rsid w:val="005556DC"/>
    <w:rsid w:val="00555B13"/>
    <w:rsid w:val="00556C46"/>
    <w:rsid w:val="00557776"/>
    <w:rsid w:val="005624BA"/>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1888"/>
    <w:rsid w:val="0058289F"/>
    <w:rsid w:val="00583DD0"/>
    <w:rsid w:val="00590FFA"/>
    <w:rsid w:val="00592197"/>
    <w:rsid w:val="00594532"/>
    <w:rsid w:val="0059457E"/>
    <w:rsid w:val="00594C10"/>
    <w:rsid w:val="00594D94"/>
    <w:rsid w:val="005954BF"/>
    <w:rsid w:val="005959BF"/>
    <w:rsid w:val="00595A81"/>
    <w:rsid w:val="005962EA"/>
    <w:rsid w:val="005A052D"/>
    <w:rsid w:val="005A0FE7"/>
    <w:rsid w:val="005A1569"/>
    <w:rsid w:val="005A1732"/>
    <w:rsid w:val="005A1D6D"/>
    <w:rsid w:val="005A23B9"/>
    <w:rsid w:val="005A28BE"/>
    <w:rsid w:val="005A5B50"/>
    <w:rsid w:val="005A5E25"/>
    <w:rsid w:val="005B1C10"/>
    <w:rsid w:val="005B26E3"/>
    <w:rsid w:val="005B7B00"/>
    <w:rsid w:val="005C0209"/>
    <w:rsid w:val="005C09F7"/>
    <w:rsid w:val="005C1136"/>
    <w:rsid w:val="005C1691"/>
    <w:rsid w:val="005C3639"/>
    <w:rsid w:val="005C3647"/>
    <w:rsid w:val="005C5A30"/>
    <w:rsid w:val="005C5DE5"/>
    <w:rsid w:val="005C5E78"/>
    <w:rsid w:val="005C624B"/>
    <w:rsid w:val="005C69DE"/>
    <w:rsid w:val="005C6F27"/>
    <w:rsid w:val="005D0068"/>
    <w:rsid w:val="005D0B67"/>
    <w:rsid w:val="005D0BA3"/>
    <w:rsid w:val="005D0D88"/>
    <w:rsid w:val="005D1F91"/>
    <w:rsid w:val="005D5E9E"/>
    <w:rsid w:val="005D66B3"/>
    <w:rsid w:val="005D6C28"/>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489"/>
    <w:rsid w:val="005E7B71"/>
    <w:rsid w:val="005F210E"/>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4CD5"/>
    <w:rsid w:val="006162F0"/>
    <w:rsid w:val="0061658B"/>
    <w:rsid w:val="006171B4"/>
    <w:rsid w:val="0062069D"/>
    <w:rsid w:val="00620866"/>
    <w:rsid w:val="00621B0F"/>
    <w:rsid w:val="00623E45"/>
    <w:rsid w:val="0062501E"/>
    <w:rsid w:val="00625DC4"/>
    <w:rsid w:val="0062777A"/>
    <w:rsid w:val="00627E07"/>
    <w:rsid w:val="0063002A"/>
    <w:rsid w:val="0063109A"/>
    <w:rsid w:val="006316AD"/>
    <w:rsid w:val="0063223E"/>
    <w:rsid w:val="00633D3F"/>
    <w:rsid w:val="00634086"/>
    <w:rsid w:val="00634337"/>
    <w:rsid w:val="00636093"/>
    <w:rsid w:val="00636D9B"/>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08A9"/>
    <w:rsid w:val="00661667"/>
    <w:rsid w:val="006622A7"/>
    <w:rsid w:val="0066353E"/>
    <w:rsid w:val="00663F8B"/>
    <w:rsid w:val="00663F9A"/>
    <w:rsid w:val="00664684"/>
    <w:rsid w:val="006646F1"/>
    <w:rsid w:val="00665AE3"/>
    <w:rsid w:val="00665BBB"/>
    <w:rsid w:val="006675A1"/>
    <w:rsid w:val="0067137A"/>
    <w:rsid w:val="00672131"/>
    <w:rsid w:val="006726FB"/>
    <w:rsid w:val="00673A97"/>
    <w:rsid w:val="00674AC7"/>
    <w:rsid w:val="00675587"/>
    <w:rsid w:val="00675B54"/>
    <w:rsid w:val="00676352"/>
    <w:rsid w:val="00676811"/>
    <w:rsid w:val="00677250"/>
    <w:rsid w:val="0068073E"/>
    <w:rsid w:val="00680E03"/>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B7D"/>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0623"/>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0A76"/>
    <w:rsid w:val="006F112E"/>
    <w:rsid w:val="006F1FAC"/>
    <w:rsid w:val="006F3775"/>
    <w:rsid w:val="006F4457"/>
    <w:rsid w:val="006F44FE"/>
    <w:rsid w:val="006F46E7"/>
    <w:rsid w:val="006F4788"/>
    <w:rsid w:val="006F4938"/>
    <w:rsid w:val="006F51AD"/>
    <w:rsid w:val="006F588E"/>
    <w:rsid w:val="006F5E81"/>
    <w:rsid w:val="006F5F1F"/>
    <w:rsid w:val="006F63EA"/>
    <w:rsid w:val="006F6797"/>
    <w:rsid w:val="006F6CC7"/>
    <w:rsid w:val="006F6EA7"/>
    <w:rsid w:val="006F7168"/>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5BC1"/>
    <w:rsid w:val="00706750"/>
    <w:rsid w:val="007075CE"/>
    <w:rsid w:val="007100CC"/>
    <w:rsid w:val="00711173"/>
    <w:rsid w:val="00711488"/>
    <w:rsid w:val="00711599"/>
    <w:rsid w:val="007129B2"/>
    <w:rsid w:val="00712ECA"/>
    <w:rsid w:val="007134F6"/>
    <w:rsid w:val="00713ABC"/>
    <w:rsid w:val="00714306"/>
    <w:rsid w:val="00714673"/>
    <w:rsid w:val="00714E9C"/>
    <w:rsid w:val="007157C8"/>
    <w:rsid w:val="007161DB"/>
    <w:rsid w:val="00716F26"/>
    <w:rsid w:val="00717454"/>
    <w:rsid w:val="007200D9"/>
    <w:rsid w:val="00720503"/>
    <w:rsid w:val="00720943"/>
    <w:rsid w:val="00721D6C"/>
    <w:rsid w:val="00723994"/>
    <w:rsid w:val="007250D0"/>
    <w:rsid w:val="00725978"/>
    <w:rsid w:val="007260A0"/>
    <w:rsid w:val="007264E7"/>
    <w:rsid w:val="00727D79"/>
    <w:rsid w:val="00727F02"/>
    <w:rsid w:val="007307B3"/>
    <w:rsid w:val="00731216"/>
    <w:rsid w:val="0073197F"/>
    <w:rsid w:val="00731C96"/>
    <w:rsid w:val="00732A34"/>
    <w:rsid w:val="00732A8A"/>
    <w:rsid w:val="00732FC0"/>
    <w:rsid w:val="0073358A"/>
    <w:rsid w:val="00733FD9"/>
    <w:rsid w:val="007348B9"/>
    <w:rsid w:val="00735D76"/>
    <w:rsid w:val="00736CA8"/>
    <w:rsid w:val="00743C1E"/>
    <w:rsid w:val="00743C77"/>
    <w:rsid w:val="0074473F"/>
    <w:rsid w:val="007449D7"/>
    <w:rsid w:val="007451BE"/>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105"/>
    <w:rsid w:val="00765E8F"/>
    <w:rsid w:val="00766E97"/>
    <w:rsid w:val="007673B7"/>
    <w:rsid w:val="00767FB7"/>
    <w:rsid w:val="0077078C"/>
    <w:rsid w:val="00770AF5"/>
    <w:rsid w:val="0077269C"/>
    <w:rsid w:val="00772B95"/>
    <w:rsid w:val="007737A3"/>
    <w:rsid w:val="00773BB8"/>
    <w:rsid w:val="007748A3"/>
    <w:rsid w:val="007749D9"/>
    <w:rsid w:val="0077517E"/>
    <w:rsid w:val="00775637"/>
    <w:rsid w:val="0077565E"/>
    <w:rsid w:val="00775A75"/>
    <w:rsid w:val="00776491"/>
    <w:rsid w:val="007765A0"/>
    <w:rsid w:val="00776650"/>
    <w:rsid w:val="007772F8"/>
    <w:rsid w:val="0077762D"/>
    <w:rsid w:val="00777CB5"/>
    <w:rsid w:val="00777EDA"/>
    <w:rsid w:val="00780634"/>
    <w:rsid w:val="0078115E"/>
    <w:rsid w:val="0078134B"/>
    <w:rsid w:val="007817BA"/>
    <w:rsid w:val="00781E1E"/>
    <w:rsid w:val="00782B6B"/>
    <w:rsid w:val="007833AC"/>
    <w:rsid w:val="00783CC3"/>
    <w:rsid w:val="007840A3"/>
    <w:rsid w:val="00785F3B"/>
    <w:rsid w:val="007863CD"/>
    <w:rsid w:val="00790554"/>
    <w:rsid w:val="0079137A"/>
    <w:rsid w:val="00791A7B"/>
    <w:rsid w:val="00791FF9"/>
    <w:rsid w:val="007934F7"/>
    <w:rsid w:val="00793EE3"/>
    <w:rsid w:val="0079404A"/>
    <w:rsid w:val="007942E0"/>
    <w:rsid w:val="00794935"/>
    <w:rsid w:val="007952BA"/>
    <w:rsid w:val="007961CB"/>
    <w:rsid w:val="007A001B"/>
    <w:rsid w:val="007A0B0D"/>
    <w:rsid w:val="007A0E3A"/>
    <w:rsid w:val="007A1271"/>
    <w:rsid w:val="007A4D96"/>
    <w:rsid w:val="007A5EF2"/>
    <w:rsid w:val="007B0654"/>
    <w:rsid w:val="007B1CF9"/>
    <w:rsid w:val="007B2AB2"/>
    <w:rsid w:val="007B37F0"/>
    <w:rsid w:val="007B65AA"/>
    <w:rsid w:val="007B7393"/>
    <w:rsid w:val="007B7914"/>
    <w:rsid w:val="007C0838"/>
    <w:rsid w:val="007C09C7"/>
    <w:rsid w:val="007C0FC8"/>
    <w:rsid w:val="007C178B"/>
    <w:rsid w:val="007C27EF"/>
    <w:rsid w:val="007C2D57"/>
    <w:rsid w:val="007C3DF7"/>
    <w:rsid w:val="007C68B3"/>
    <w:rsid w:val="007C74A8"/>
    <w:rsid w:val="007D227C"/>
    <w:rsid w:val="007D264E"/>
    <w:rsid w:val="007D2D5E"/>
    <w:rsid w:val="007D4040"/>
    <w:rsid w:val="007D4A1E"/>
    <w:rsid w:val="007D4B43"/>
    <w:rsid w:val="007D5470"/>
    <w:rsid w:val="007D62B0"/>
    <w:rsid w:val="007D6824"/>
    <w:rsid w:val="007E15B2"/>
    <w:rsid w:val="007E1F46"/>
    <w:rsid w:val="007E2989"/>
    <w:rsid w:val="007E2A41"/>
    <w:rsid w:val="007E3631"/>
    <w:rsid w:val="007E52B2"/>
    <w:rsid w:val="007E64C7"/>
    <w:rsid w:val="007E65E8"/>
    <w:rsid w:val="007E7E36"/>
    <w:rsid w:val="007F21FC"/>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56CE"/>
    <w:rsid w:val="00817D32"/>
    <w:rsid w:val="0082289C"/>
    <w:rsid w:val="00822B8F"/>
    <w:rsid w:val="00823913"/>
    <w:rsid w:val="0082401E"/>
    <w:rsid w:val="0082480F"/>
    <w:rsid w:val="008252BC"/>
    <w:rsid w:val="00825312"/>
    <w:rsid w:val="00825376"/>
    <w:rsid w:val="0082585A"/>
    <w:rsid w:val="00826E34"/>
    <w:rsid w:val="00826FA0"/>
    <w:rsid w:val="008272B2"/>
    <w:rsid w:val="00827426"/>
    <w:rsid w:val="00830B78"/>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127"/>
    <w:rsid w:val="0084432A"/>
    <w:rsid w:val="00844A35"/>
    <w:rsid w:val="0084699F"/>
    <w:rsid w:val="00846CCB"/>
    <w:rsid w:val="0084728D"/>
    <w:rsid w:val="00847EDD"/>
    <w:rsid w:val="00850E5E"/>
    <w:rsid w:val="008517F7"/>
    <w:rsid w:val="0085372E"/>
    <w:rsid w:val="00853E35"/>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67B43"/>
    <w:rsid w:val="008717E3"/>
    <w:rsid w:val="008725D5"/>
    <w:rsid w:val="00872B4A"/>
    <w:rsid w:val="00873845"/>
    <w:rsid w:val="0087430D"/>
    <w:rsid w:val="00875832"/>
    <w:rsid w:val="008765F7"/>
    <w:rsid w:val="00877186"/>
    <w:rsid w:val="00877421"/>
    <w:rsid w:val="00881AE2"/>
    <w:rsid w:val="00882BCA"/>
    <w:rsid w:val="0088389E"/>
    <w:rsid w:val="008838B4"/>
    <w:rsid w:val="008838D5"/>
    <w:rsid w:val="00883C1E"/>
    <w:rsid w:val="00884D28"/>
    <w:rsid w:val="00884E41"/>
    <w:rsid w:val="00886704"/>
    <w:rsid w:val="00886AC4"/>
    <w:rsid w:val="00891072"/>
    <w:rsid w:val="00891776"/>
    <w:rsid w:val="00891B6F"/>
    <w:rsid w:val="008934A4"/>
    <w:rsid w:val="008934D6"/>
    <w:rsid w:val="008936E9"/>
    <w:rsid w:val="00893B15"/>
    <w:rsid w:val="0089458B"/>
    <w:rsid w:val="00894C36"/>
    <w:rsid w:val="008979D2"/>
    <w:rsid w:val="00897B7D"/>
    <w:rsid w:val="008A01A8"/>
    <w:rsid w:val="008A04BA"/>
    <w:rsid w:val="008A0524"/>
    <w:rsid w:val="008A36F8"/>
    <w:rsid w:val="008A5C87"/>
    <w:rsid w:val="008A6888"/>
    <w:rsid w:val="008B0457"/>
    <w:rsid w:val="008B096D"/>
    <w:rsid w:val="008B2084"/>
    <w:rsid w:val="008B30C0"/>
    <w:rsid w:val="008B3855"/>
    <w:rsid w:val="008B3A2D"/>
    <w:rsid w:val="008B4710"/>
    <w:rsid w:val="008B509E"/>
    <w:rsid w:val="008B54AB"/>
    <w:rsid w:val="008B54D5"/>
    <w:rsid w:val="008B570C"/>
    <w:rsid w:val="008B5EF0"/>
    <w:rsid w:val="008C04F9"/>
    <w:rsid w:val="008C2320"/>
    <w:rsid w:val="008C24B6"/>
    <w:rsid w:val="008C27F4"/>
    <w:rsid w:val="008C451E"/>
    <w:rsid w:val="008C4E32"/>
    <w:rsid w:val="008C5950"/>
    <w:rsid w:val="008C5D3D"/>
    <w:rsid w:val="008C7B98"/>
    <w:rsid w:val="008D076A"/>
    <w:rsid w:val="008D23C0"/>
    <w:rsid w:val="008D2727"/>
    <w:rsid w:val="008D5977"/>
    <w:rsid w:val="008D70E9"/>
    <w:rsid w:val="008D78CD"/>
    <w:rsid w:val="008E0A50"/>
    <w:rsid w:val="008E1038"/>
    <w:rsid w:val="008E21B3"/>
    <w:rsid w:val="008E267D"/>
    <w:rsid w:val="008E3B69"/>
    <w:rsid w:val="008E57C0"/>
    <w:rsid w:val="008E5B2E"/>
    <w:rsid w:val="008E5E14"/>
    <w:rsid w:val="008E5E99"/>
    <w:rsid w:val="008E5EFD"/>
    <w:rsid w:val="008E6E25"/>
    <w:rsid w:val="008E7068"/>
    <w:rsid w:val="008F0D15"/>
    <w:rsid w:val="008F3B6F"/>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255"/>
    <w:rsid w:val="0091485A"/>
    <w:rsid w:val="00916C6C"/>
    <w:rsid w:val="009201F5"/>
    <w:rsid w:val="00920B86"/>
    <w:rsid w:val="00920DD9"/>
    <w:rsid w:val="0092237F"/>
    <w:rsid w:val="0092250A"/>
    <w:rsid w:val="00922719"/>
    <w:rsid w:val="00922F82"/>
    <w:rsid w:val="009235D8"/>
    <w:rsid w:val="00924955"/>
    <w:rsid w:val="00924DD1"/>
    <w:rsid w:val="0092607B"/>
    <w:rsid w:val="009264ED"/>
    <w:rsid w:val="00926849"/>
    <w:rsid w:val="009310D6"/>
    <w:rsid w:val="0093277B"/>
    <w:rsid w:val="00932AE8"/>
    <w:rsid w:val="00932CC4"/>
    <w:rsid w:val="009339A2"/>
    <w:rsid w:val="009339D1"/>
    <w:rsid w:val="00936AEC"/>
    <w:rsid w:val="009370D9"/>
    <w:rsid w:val="00937161"/>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2F92"/>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3E8C"/>
    <w:rsid w:val="00984DE4"/>
    <w:rsid w:val="009850CF"/>
    <w:rsid w:val="00985356"/>
    <w:rsid w:val="0098545C"/>
    <w:rsid w:val="009865E6"/>
    <w:rsid w:val="00987CEF"/>
    <w:rsid w:val="0099040F"/>
    <w:rsid w:val="00990AB2"/>
    <w:rsid w:val="00991498"/>
    <w:rsid w:val="00993549"/>
    <w:rsid w:val="0099406F"/>
    <w:rsid w:val="00994DCE"/>
    <w:rsid w:val="009958C0"/>
    <w:rsid w:val="00995F8D"/>
    <w:rsid w:val="009A1D61"/>
    <w:rsid w:val="009A298D"/>
    <w:rsid w:val="009A32AB"/>
    <w:rsid w:val="009A3377"/>
    <w:rsid w:val="009A78F0"/>
    <w:rsid w:val="009B2324"/>
    <w:rsid w:val="009B28C9"/>
    <w:rsid w:val="009B296B"/>
    <w:rsid w:val="009B57DC"/>
    <w:rsid w:val="009B66E6"/>
    <w:rsid w:val="009B69A0"/>
    <w:rsid w:val="009B6F6B"/>
    <w:rsid w:val="009B7CCB"/>
    <w:rsid w:val="009B7D2C"/>
    <w:rsid w:val="009C086F"/>
    <w:rsid w:val="009C2536"/>
    <w:rsid w:val="009C4705"/>
    <w:rsid w:val="009C4D9B"/>
    <w:rsid w:val="009C4E79"/>
    <w:rsid w:val="009C513C"/>
    <w:rsid w:val="009C6B06"/>
    <w:rsid w:val="009C7FE7"/>
    <w:rsid w:val="009D0C2D"/>
    <w:rsid w:val="009D1E48"/>
    <w:rsid w:val="009D26A9"/>
    <w:rsid w:val="009D46F6"/>
    <w:rsid w:val="009D4E52"/>
    <w:rsid w:val="009D5E42"/>
    <w:rsid w:val="009D7791"/>
    <w:rsid w:val="009E0542"/>
    <w:rsid w:val="009E077F"/>
    <w:rsid w:val="009E0B68"/>
    <w:rsid w:val="009E1365"/>
    <w:rsid w:val="009E28D4"/>
    <w:rsid w:val="009E3A9F"/>
    <w:rsid w:val="009E6F32"/>
    <w:rsid w:val="009E74C1"/>
    <w:rsid w:val="009E7F70"/>
    <w:rsid w:val="009F3379"/>
    <w:rsid w:val="009F40E2"/>
    <w:rsid w:val="009F54CD"/>
    <w:rsid w:val="009F64CC"/>
    <w:rsid w:val="009F67E9"/>
    <w:rsid w:val="009F6A59"/>
    <w:rsid w:val="00A007CB"/>
    <w:rsid w:val="00A00BA8"/>
    <w:rsid w:val="00A02A68"/>
    <w:rsid w:val="00A04558"/>
    <w:rsid w:val="00A05126"/>
    <w:rsid w:val="00A05165"/>
    <w:rsid w:val="00A057A8"/>
    <w:rsid w:val="00A05B9C"/>
    <w:rsid w:val="00A0709E"/>
    <w:rsid w:val="00A11F42"/>
    <w:rsid w:val="00A12EA5"/>
    <w:rsid w:val="00A13791"/>
    <w:rsid w:val="00A13E9D"/>
    <w:rsid w:val="00A13F81"/>
    <w:rsid w:val="00A141DB"/>
    <w:rsid w:val="00A14836"/>
    <w:rsid w:val="00A14C6C"/>
    <w:rsid w:val="00A14F42"/>
    <w:rsid w:val="00A15D28"/>
    <w:rsid w:val="00A16F39"/>
    <w:rsid w:val="00A17302"/>
    <w:rsid w:val="00A177F0"/>
    <w:rsid w:val="00A20586"/>
    <w:rsid w:val="00A210F0"/>
    <w:rsid w:val="00A22131"/>
    <w:rsid w:val="00A2267A"/>
    <w:rsid w:val="00A235A7"/>
    <w:rsid w:val="00A23AD5"/>
    <w:rsid w:val="00A2529A"/>
    <w:rsid w:val="00A270ED"/>
    <w:rsid w:val="00A273DC"/>
    <w:rsid w:val="00A276D6"/>
    <w:rsid w:val="00A3054F"/>
    <w:rsid w:val="00A30899"/>
    <w:rsid w:val="00A32213"/>
    <w:rsid w:val="00A332EF"/>
    <w:rsid w:val="00A334A3"/>
    <w:rsid w:val="00A33BC4"/>
    <w:rsid w:val="00A33F46"/>
    <w:rsid w:val="00A340C7"/>
    <w:rsid w:val="00A352C2"/>
    <w:rsid w:val="00A35F23"/>
    <w:rsid w:val="00A3608A"/>
    <w:rsid w:val="00A36A43"/>
    <w:rsid w:val="00A36AD7"/>
    <w:rsid w:val="00A40786"/>
    <w:rsid w:val="00A42B1A"/>
    <w:rsid w:val="00A43FFC"/>
    <w:rsid w:val="00A442D0"/>
    <w:rsid w:val="00A446E2"/>
    <w:rsid w:val="00A450A6"/>
    <w:rsid w:val="00A45762"/>
    <w:rsid w:val="00A45B87"/>
    <w:rsid w:val="00A46D40"/>
    <w:rsid w:val="00A46F6B"/>
    <w:rsid w:val="00A47578"/>
    <w:rsid w:val="00A478D1"/>
    <w:rsid w:val="00A47B2A"/>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1F33"/>
    <w:rsid w:val="00A62293"/>
    <w:rsid w:val="00A64697"/>
    <w:rsid w:val="00A6512A"/>
    <w:rsid w:val="00A663D7"/>
    <w:rsid w:val="00A6673B"/>
    <w:rsid w:val="00A66B6F"/>
    <w:rsid w:val="00A66F29"/>
    <w:rsid w:val="00A67C2D"/>
    <w:rsid w:val="00A70014"/>
    <w:rsid w:val="00A7136D"/>
    <w:rsid w:val="00A743BD"/>
    <w:rsid w:val="00A753F2"/>
    <w:rsid w:val="00A7572B"/>
    <w:rsid w:val="00A759BF"/>
    <w:rsid w:val="00A77381"/>
    <w:rsid w:val="00A77A1A"/>
    <w:rsid w:val="00A80007"/>
    <w:rsid w:val="00A81A47"/>
    <w:rsid w:val="00A81E17"/>
    <w:rsid w:val="00A8295E"/>
    <w:rsid w:val="00A83AF9"/>
    <w:rsid w:val="00A84D67"/>
    <w:rsid w:val="00A8587C"/>
    <w:rsid w:val="00A85E7C"/>
    <w:rsid w:val="00A860E1"/>
    <w:rsid w:val="00A86175"/>
    <w:rsid w:val="00A867EB"/>
    <w:rsid w:val="00A86BA8"/>
    <w:rsid w:val="00A86DA4"/>
    <w:rsid w:val="00A87263"/>
    <w:rsid w:val="00A901E0"/>
    <w:rsid w:val="00A918C7"/>
    <w:rsid w:val="00A930B0"/>
    <w:rsid w:val="00A95282"/>
    <w:rsid w:val="00A963A5"/>
    <w:rsid w:val="00A97513"/>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A7B04"/>
    <w:rsid w:val="00AB1695"/>
    <w:rsid w:val="00AB1B33"/>
    <w:rsid w:val="00AB1EC7"/>
    <w:rsid w:val="00AB28E5"/>
    <w:rsid w:val="00AB2B09"/>
    <w:rsid w:val="00AB2BDD"/>
    <w:rsid w:val="00AB4BC0"/>
    <w:rsid w:val="00AB5052"/>
    <w:rsid w:val="00AB52F3"/>
    <w:rsid w:val="00AB69EE"/>
    <w:rsid w:val="00AC1954"/>
    <w:rsid w:val="00AC2CA3"/>
    <w:rsid w:val="00AC3257"/>
    <w:rsid w:val="00AC406C"/>
    <w:rsid w:val="00AC4CDD"/>
    <w:rsid w:val="00AC500E"/>
    <w:rsid w:val="00AC7454"/>
    <w:rsid w:val="00AC78C8"/>
    <w:rsid w:val="00AC7D16"/>
    <w:rsid w:val="00AC7D2C"/>
    <w:rsid w:val="00AD0941"/>
    <w:rsid w:val="00AD1CB9"/>
    <w:rsid w:val="00AD319D"/>
    <w:rsid w:val="00AD3649"/>
    <w:rsid w:val="00AD49F3"/>
    <w:rsid w:val="00AD5AB0"/>
    <w:rsid w:val="00AD6150"/>
    <w:rsid w:val="00AD77C1"/>
    <w:rsid w:val="00AE10DE"/>
    <w:rsid w:val="00AE2798"/>
    <w:rsid w:val="00AE3142"/>
    <w:rsid w:val="00AE3214"/>
    <w:rsid w:val="00AE3377"/>
    <w:rsid w:val="00AE3A4A"/>
    <w:rsid w:val="00AE3BD5"/>
    <w:rsid w:val="00AE424D"/>
    <w:rsid w:val="00AE4A88"/>
    <w:rsid w:val="00AE70B4"/>
    <w:rsid w:val="00AF0071"/>
    <w:rsid w:val="00AF007D"/>
    <w:rsid w:val="00AF11F1"/>
    <w:rsid w:val="00AF2D89"/>
    <w:rsid w:val="00AF6C6D"/>
    <w:rsid w:val="00AF70A5"/>
    <w:rsid w:val="00AF7A0B"/>
    <w:rsid w:val="00B0001B"/>
    <w:rsid w:val="00B011A0"/>
    <w:rsid w:val="00B02080"/>
    <w:rsid w:val="00B02419"/>
    <w:rsid w:val="00B030B3"/>
    <w:rsid w:val="00B04987"/>
    <w:rsid w:val="00B04A5F"/>
    <w:rsid w:val="00B0685A"/>
    <w:rsid w:val="00B068FE"/>
    <w:rsid w:val="00B07342"/>
    <w:rsid w:val="00B07D82"/>
    <w:rsid w:val="00B07F02"/>
    <w:rsid w:val="00B10107"/>
    <w:rsid w:val="00B1010B"/>
    <w:rsid w:val="00B10AFE"/>
    <w:rsid w:val="00B11C43"/>
    <w:rsid w:val="00B12373"/>
    <w:rsid w:val="00B132DC"/>
    <w:rsid w:val="00B13B66"/>
    <w:rsid w:val="00B145BB"/>
    <w:rsid w:val="00B14A33"/>
    <w:rsid w:val="00B14E1C"/>
    <w:rsid w:val="00B16CF0"/>
    <w:rsid w:val="00B21BB2"/>
    <w:rsid w:val="00B224F2"/>
    <w:rsid w:val="00B25881"/>
    <w:rsid w:val="00B266E8"/>
    <w:rsid w:val="00B3014E"/>
    <w:rsid w:val="00B307B3"/>
    <w:rsid w:val="00B311F0"/>
    <w:rsid w:val="00B318A9"/>
    <w:rsid w:val="00B328C3"/>
    <w:rsid w:val="00B329C6"/>
    <w:rsid w:val="00B33C3B"/>
    <w:rsid w:val="00B33D65"/>
    <w:rsid w:val="00B34328"/>
    <w:rsid w:val="00B343F4"/>
    <w:rsid w:val="00B34A73"/>
    <w:rsid w:val="00B3549C"/>
    <w:rsid w:val="00B35D9E"/>
    <w:rsid w:val="00B36FA6"/>
    <w:rsid w:val="00B416F0"/>
    <w:rsid w:val="00B41FD3"/>
    <w:rsid w:val="00B42046"/>
    <w:rsid w:val="00B43466"/>
    <w:rsid w:val="00B451A5"/>
    <w:rsid w:val="00B45EE1"/>
    <w:rsid w:val="00B46733"/>
    <w:rsid w:val="00B5120B"/>
    <w:rsid w:val="00B54024"/>
    <w:rsid w:val="00B54E92"/>
    <w:rsid w:val="00B572B5"/>
    <w:rsid w:val="00B60297"/>
    <w:rsid w:val="00B60E64"/>
    <w:rsid w:val="00B617F9"/>
    <w:rsid w:val="00B63250"/>
    <w:rsid w:val="00B64C27"/>
    <w:rsid w:val="00B64E88"/>
    <w:rsid w:val="00B66A92"/>
    <w:rsid w:val="00B66BD0"/>
    <w:rsid w:val="00B67376"/>
    <w:rsid w:val="00B70EBF"/>
    <w:rsid w:val="00B72700"/>
    <w:rsid w:val="00B73746"/>
    <w:rsid w:val="00B749EA"/>
    <w:rsid w:val="00B7631C"/>
    <w:rsid w:val="00B76BB7"/>
    <w:rsid w:val="00B80059"/>
    <w:rsid w:val="00B80288"/>
    <w:rsid w:val="00B80594"/>
    <w:rsid w:val="00B80609"/>
    <w:rsid w:val="00B80B7C"/>
    <w:rsid w:val="00B82D1A"/>
    <w:rsid w:val="00B83F3F"/>
    <w:rsid w:val="00B8400B"/>
    <w:rsid w:val="00B8416D"/>
    <w:rsid w:val="00B84DC3"/>
    <w:rsid w:val="00B85438"/>
    <w:rsid w:val="00B86834"/>
    <w:rsid w:val="00B86FAE"/>
    <w:rsid w:val="00B90346"/>
    <w:rsid w:val="00B90C20"/>
    <w:rsid w:val="00B90CB5"/>
    <w:rsid w:val="00B9185D"/>
    <w:rsid w:val="00B92777"/>
    <w:rsid w:val="00B92BB0"/>
    <w:rsid w:val="00B93D0F"/>
    <w:rsid w:val="00B95087"/>
    <w:rsid w:val="00B95789"/>
    <w:rsid w:val="00B96F9D"/>
    <w:rsid w:val="00B9736E"/>
    <w:rsid w:val="00BA0C4C"/>
    <w:rsid w:val="00BA0EBB"/>
    <w:rsid w:val="00BA35F8"/>
    <w:rsid w:val="00BA422E"/>
    <w:rsid w:val="00BA46B1"/>
    <w:rsid w:val="00BA4907"/>
    <w:rsid w:val="00BA59EB"/>
    <w:rsid w:val="00BA5B5B"/>
    <w:rsid w:val="00BA69D3"/>
    <w:rsid w:val="00BB0971"/>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54"/>
    <w:rsid w:val="00BC5BAA"/>
    <w:rsid w:val="00BD10A7"/>
    <w:rsid w:val="00BD1584"/>
    <w:rsid w:val="00BD1CFF"/>
    <w:rsid w:val="00BD24F1"/>
    <w:rsid w:val="00BD3534"/>
    <w:rsid w:val="00BD608A"/>
    <w:rsid w:val="00BD793A"/>
    <w:rsid w:val="00BD7A36"/>
    <w:rsid w:val="00BD7E00"/>
    <w:rsid w:val="00BE473C"/>
    <w:rsid w:val="00BE4B9E"/>
    <w:rsid w:val="00BE6AC4"/>
    <w:rsid w:val="00BE6E00"/>
    <w:rsid w:val="00BF0C32"/>
    <w:rsid w:val="00BF0F25"/>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5653"/>
    <w:rsid w:val="00C06D24"/>
    <w:rsid w:val="00C0722B"/>
    <w:rsid w:val="00C07802"/>
    <w:rsid w:val="00C07EA0"/>
    <w:rsid w:val="00C100AC"/>
    <w:rsid w:val="00C106CB"/>
    <w:rsid w:val="00C1091E"/>
    <w:rsid w:val="00C12B9B"/>
    <w:rsid w:val="00C12F0F"/>
    <w:rsid w:val="00C131E4"/>
    <w:rsid w:val="00C13FE9"/>
    <w:rsid w:val="00C14323"/>
    <w:rsid w:val="00C14807"/>
    <w:rsid w:val="00C150A9"/>
    <w:rsid w:val="00C151ED"/>
    <w:rsid w:val="00C156F7"/>
    <w:rsid w:val="00C167E9"/>
    <w:rsid w:val="00C1708E"/>
    <w:rsid w:val="00C170A1"/>
    <w:rsid w:val="00C173D4"/>
    <w:rsid w:val="00C17BEA"/>
    <w:rsid w:val="00C2008B"/>
    <w:rsid w:val="00C20E3C"/>
    <w:rsid w:val="00C2142A"/>
    <w:rsid w:val="00C21642"/>
    <w:rsid w:val="00C21DB4"/>
    <w:rsid w:val="00C223C7"/>
    <w:rsid w:val="00C22792"/>
    <w:rsid w:val="00C23186"/>
    <w:rsid w:val="00C23B6D"/>
    <w:rsid w:val="00C23CB8"/>
    <w:rsid w:val="00C23F6D"/>
    <w:rsid w:val="00C24459"/>
    <w:rsid w:val="00C24984"/>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01B1"/>
    <w:rsid w:val="00C51086"/>
    <w:rsid w:val="00C51C1B"/>
    <w:rsid w:val="00C53D72"/>
    <w:rsid w:val="00C54069"/>
    <w:rsid w:val="00C57A31"/>
    <w:rsid w:val="00C60D60"/>
    <w:rsid w:val="00C613F3"/>
    <w:rsid w:val="00C61779"/>
    <w:rsid w:val="00C620FD"/>
    <w:rsid w:val="00C622B3"/>
    <w:rsid w:val="00C62C1B"/>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87044"/>
    <w:rsid w:val="00C9026A"/>
    <w:rsid w:val="00C9062C"/>
    <w:rsid w:val="00C9084A"/>
    <w:rsid w:val="00C90B14"/>
    <w:rsid w:val="00C9293B"/>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5F6E"/>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3D39"/>
    <w:rsid w:val="00CC4C32"/>
    <w:rsid w:val="00CC60E6"/>
    <w:rsid w:val="00CC73FC"/>
    <w:rsid w:val="00CC74D1"/>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0037"/>
    <w:rsid w:val="00CF17D7"/>
    <w:rsid w:val="00CF29D2"/>
    <w:rsid w:val="00CF2C30"/>
    <w:rsid w:val="00CF306A"/>
    <w:rsid w:val="00CF31A7"/>
    <w:rsid w:val="00CF3C75"/>
    <w:rsid w:val="00CF46B2"/>
    <w:rsid w:val="00CF4BD1"/>
    <w:rsid w:val="00CF66B5"/>
    <w:rsid w:val="00D00B5A"/>
    <w:rsid w:val="00D01084"/>
    <w:rsid w:val="00D01712"/>
    <w:rsid w:val="00D01FB9"/>
    <w:rsid w:val="00D0274E"/>
    <w:rsid w:val="00D03534"/>
    <w:rsid w:val="00D0488C"/>
    <w:rsid w:val="00D0594D"/>
    <w:rsid w:val="00D06296"/>
    <w:rsid w:val="00D06A7C"/>
    <w:rsid w:val="00D06CB2"/>
    <w:rsid w:val="00D07F77"/>
    <w:rsid w:val="00D121CF"/>
    <w:rsid w:val="00D126C3"/>
    <w:rsid w:val="00D12AB6"/>
    <w:rsid w:val="00D12AD3"/>
    <w:rsid w:val="00D12DAF"/>
    <w:rsid w:val="00D1314A"/>
    <w:rsid w:val="00D1326E"/>
    <w:rsid w:val="00D1379B"/>
    <w:rsid w:val="00D15CF3"/>
    <w:rsid w:val="00D162AB"/>
    <w:rsid w:val="00D1728E"/>
    <w:rsid w:val="00D2098D"/>
    <w:rsid w:val="00D217E1"/>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062A"/>
    <w:rsid w:val="00D31203"/>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1F9E"/>
    <w:rsid w:val="00D52702"/>
    <w:rsid w:val="00D5274A"/>
    <w:rsid w:val="00D527FA"/>
    <w:rsid w:val="00D53454"/>
    <w:rsid w:val="00D53A53"/>
    <w:rsid w:val="00D55DF4"/>
    <w:rsid w:val="00D5649D"/>
    <w:rsid w:val="00D603D3"/>
    <w:rsid w:val="00D6096D"/>
    <w:rsid w:val="00D60F06"/>
    <w:rsid w:val="00D61481"/>
    <w:rsid w:val="00D6268C"/>
    <w:rsid w:val="00D63B0D"/>
    <w:rsid w:val="00D64669"/>
    <w:rsid w:val="00D648F5"/>
    <w:rsid w:val="00D658A1"/>
    <w:rsid w:val="00D6607E"/>
    <w:rsid w:val="00D66716"/>
    <w:rsid w:val="00D667AA"/>
    <w:rsid w:val="00D66A5D"/>
    <w:rsid w:val="00D700FC"/>
    <w:rsid w:val="00D70263"/>
    <w:rsid w:val="00D744FF"/>
    <w:rsid w:val="00D755C5"/>
    <w:rsid w:val="00D76974"/>
    <w:rsid w:val="00D81003"/>
    <w:rsid w:val="00D810C3"/>
    <w:rsid w:val="00D82695"/>
    <w:rsid w:val="00D82828"/>
    <w:rsid w:val="00D82BE4"/>
    <w:rsid w:val="00D8333C"/>
    <w:rsid w:val="00D84468"/>
    <w:rsid w:val="00D8468F"/>
    <w:rsid w:val="00D84B96"/>
    <w:rsid w:val="00D85101"/>
    <w:rsid w:val="00D85B72"/>
    <w:rsid w:val="00D86445"/>
    <w:rsid w:val="00D86519"/>
    <w:rsid w:val="00D86A52"/>
    <w:rsid w:val="00D86A70"/>
    <w:rsid w:val="00D878CB"/>
    <w:rsid w:val="00D87F26"/>
    <w:rsid w:val="00D9004F"/>
    <w:rsid w:val="00D905E0"/>
    <w:rsid w:val="00D91BC3"/>
    <w:rsid w:val="00D923E9"/>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2A9"/>
    <w:rsid w:val="00DF379D"/>
    <w:rsid w:val="00DF3ABA"/>
    <w:rsid w:val="00DF3E85"/>
    <w:rsid w:val="00DF53AC"/>
    <w:rsid w:val="00DF58DD"/>
    <w:rsid w:val="00DF5A86"/>
    <w:rsid w:val="00DF6990"/>
    <w:rsid w:val="00DF6DB9"/>
    <w:rsid w:val="00DF7649"/>
    <w:rsid w:val="00DF7A39"/>
    <w:rsid w:val="00DF7B01"/>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2B1"/>
    <w:rsid w:val="00E20CD8"/>
    <w:rsid w:val="00E227A1"/>
    <w:rsid w:val="00E22856"/>
    <w:rsid w:val="00E234C7"/>
    <w:rsid w:val="00E24137"/>
    <w:rsid w:val="00E24E43"/>
    <w:rsid w:val="00E2603D"/>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4D4"/>
    <w:rsid w:val="00E46E7D"/>
    <w:rsid w:val="00E47748"/>
    <w:rsid w:val="00E4788C"/>
    <w:rsid w:val="00E51573"/>
    <w:rsid w:val="00E5168C"/>
    <w:rsid w:val="00E51F94"/>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4E7B"/>
    <w:rsid w:val="00E860EA"/>
    <w:rsid w:val="00E86315"/>
    <w:rsid w:val="00E86340"/>
    <w:rsid w:val="00E90379"/>
    <w:rsid w:val="00E909E2"/>
    <w:rsid w:val="00E9143E"/>
    <w:rsid w:val="00E91440"/>
    <w:rsid w:val="00E91D94"/>
    <w:rsid w:val="00E92E3E"/>
    <w:rsid w:val="00E93854"/>
    <w:rsid w:val="00E940DF"/>
    <w:rsid w:val="00E94154"/>
    <w:rsid w:val="00E947DE"/>
    <w:rsid w:val="00E97ACF"/>
    <w:rsid w:val="00EA2EE1"/>
    <w:rsid w:val="00EA339B"/>
    <w:rsid w:val="00EA3F3F"/>
    <w:rsid w:val="00EA3F88"/>
    <w:rsid w:val="00EA630C"/>
    <w:rsid w:val="00EA6568"/>
    <w:rsid w:val="00EA77B0"/>
    <w:rsid w:val="00EB0C28"/>
    <w:rsid w:val="00EB2785"/>
    <w:rsid w:val="00EB5ECF"/>
    <w:rsid w:val="00EB60CD"/>
    <w:rsid w:val="00EB6A20"/>
    <w:rsid w:val="00EB7F64"/>
    <w:rsid w:val="00EC030F"/>
    <w:rsid w:val="00EC1B93"/>
    <w:rsid w:val="00EC2827"/>
    <w:rsid w:val="00EC2C14"/>
    <w:rsid w:val="00EC2C30"/>
    <w:rsid w:val="00EC3422"/>
    <w:rsid w:val="00EC3FCB"/>
    <w:rsid w:val="00EC45E9"/>
    <w:rsid w:val="00EC4CF2"/>
    <w:rsid w:val="00EC4D93"/>
    <w:rsid w:val="00EC4E6F"/>
    <w:rsid w:val="00EC6544"/>
    <w:rsid w:val="00EC6F1E"/>
    <w:rsid w:val="00ED009A"/>
    <w:rsid w:val="00ED09F6"/>
    <w:rsid w:val="00ED1434"/>
    <w:rsid w:val="00ED1F3E"/>
    <w:rsid w:val="00ED6277"/>
    <w:rsid w:val="00ED6D08"/>
    <w:rsid w:val="00ED6FE2"/>
    <w:rsid w:val="00ED7412"/>
    <w:rsid w:val="00ED7455"/>
    <w:rsid w:val="00ED76D2"/>
    <w:rsid w:val="00EE00B8"/>
    <w:rsid w:val="00EE2696"/>
    <w:rsid w:val="00EE5727"/>
    <w:rsid w:val="00EE5B34"/>
    <w:rsid w:val="00EE6CA0"/>
    <w:rsid w:val="00EE76BD"/>
    <w:rsid w:val="00EE771E"/>
    <w:rsid w:val="00EF2098"/>
    <w:rsid w:val="00EF31F8"/>
    <w:rsid w:val="00EF662C"/>
    <w:rsid w:val="00EF6BC2"/>
    <w:rsid w:val="00EF77D5"/>
    <w:rsid w:val="00EF77D7"/>
    <w:rsid w:val="00EF7B4B"/>
    <w:rsid w:val="00F02AF4"/>
    <w:rsid w:val="00F033FF"/>
    <w:rsid w:val="00F054BF"/>
    <w:rsid w:val="00F05E14"/>
    <w:rsid w:val="00F063BE"/>
    <w:rsid w:val="00F06923"/>
    <w:rsid w:val="00F06CBE"/>
    <w:rsid w:val="00F06DE0"/>
    <w:rsid w:val="00F0756A"/>
    <w:rsid w:val="00F101E3"/>
    <w:rsid w:val="00F10F54"/>
    <w:rsid w:val="00F124B4"/>
    <w:rsid w:val="00F13DB0"/>
    <w:rsid w:val="00F1460A"/>
    <w:rsid w:val="00F148E9"/>
    <w:rsid w:val="00F1522F"/>
    <w:rsid w:val="00F1797F"/>
    <w:rsid w:val="00F20010"/>
    <w:rsid w:val="00F20681"/>
    <w:rsid w:val="00F21015"/>
    <w:rsid w:val="00F21A85"/>
    <w:rsid w:val="00F229D3"/>
    <w:rsid w:val="00F231BC"/>
    <w:rsid w:val="00F232E7"/>
    <w:rsid w:val="00F2347A"/>
    <w:rsid w:val="00F23C45"/>
    <w:rsid w:val="00F2424E"/>
    <w:rsid w:val="00F25D8A"/>
    <w:rsid w:val="00F26F4A"/>
    <w:rsid w:val="00F273FF"/>
    <w:rsid w:val="00F27448"/>
    <w:rsid w:val="00F30358"/>
    <w:rsid w:val="00F30F33"/>
    <w:rsid w:val="00F31806"/>
    <w:rsid w:val="00F32DD2"/>
    <w:rsid w:val="00F33C09"/>
    <w:rsid w:val="00F350C0"/>
    <w:rsid w:val="00F356A6"/>
    <w:rsid w:val="00F35FA2"/>
    <w:rsid w:val="00F360A2"/>
    <w:rsid w:val="00F36D5B"/>
    <w:rsid w:val="00F37CE3"/>
    <w:rsid w:val="00F37DEF"/>
    <w:rsid w:val="00F413E1"/>
    <w:rsid w:val="00F41CCE"/>
    <w:rsid w:val="00F420BF"/>
    <w:rsid w:val="00F43BE7"/>
    <w:rsid w:val="00F45CD9"/>
    <w:rsid w:val="00F46A1B"/>
    <w:rsid w:val="00F4754B"/>
    <w:rsid w:val="00F477BE"/>
    <w:rsid w:val="00F50951"/>
    <w:rsid w:val="00F50AD6"/>
    <w:rsid w:val="00F522ED"/>
    <w:rsid w:val="00F56B61"/>
    <w:rsid w:val="00F573EA"/>
    <w:rsid w:val="00F57807"/>
    <w:rsid w:val="00F60270"/>
    <w:rsid w:val="00F624B0"/>
    <w:rsid w:val="00F62568"/>
    <w:rsid w:val="00F62C28"/>
    <w:rsid w:val="00F62ED1"/>
    <w:rsid w:val="00F64257"/>
    <w:rsid w:val="00F64530"/>
    <w:rsid w:val="00F662DC"/>
    <w:rsid w:val="00F671B2"/>
    <w:rsid w:val="00F67941"/>
    <w:rsid w:val="00F67A47"/>
    <w:rsid w:val="00F67B96"/>
    <w:rsid w:val="00F70A83"/>
    <w:rsid w:val="00F70E9A"/>
    <w:rsid w:val="00F71081"/>
    <w:rsid w:val="00F71479"/>
    <w:rsid w:val="00F71FE6"/>
    <w:rsid w:val="00F7244B"/>
    <w:rsid w:val="00F75CB4"/>
    <w:rsid w:val="00F760F4"/>
    <w:rsid w:val="00F76339"/>
    <w:rsid w:val="00F77BCC"/>
    <w:rsid w:val="00F77F20"/>
    <w:rsid w:val="00F8199C"/>
    <w:rsid w:val="00F8212C"/>
    <w:rsid w:val="00F82681"/>
    <w:rsid w:val="00F82A48"/>
    <w:rsid w:val="00F82D6D"/>
    <w:rsid w:val="00F83EAF"/>
    <w:rsid w:val="00F86377"/>
    <w:rsid w:val="00F86A1F"/>
    <w:rsid w:val="00F86BA8"/>
    <w:rsid w:val="00F873CC"/>
    <w:rsid w:val="00F878FF"/>
    <w:rsid w:val="00F90BC8"/>
    <w:rsid w:val="00F91CE8"/>
    <w:rsid w:val="00F922EC"/>
    <w:rsid w:val="00F93012"/>
    <w:rsid w:val="00F95821"/>
    <w:rsid w:val="00F966CA"/>
    <w:rsid w:val="00F96ECE"/>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2C90"/>
    <w:rsid w:val="00FE3696"/>
    <w:rsid w:val="00FE3A1B"/>
    <w:rsid w:val="00FE476F"/>
    <w:rsid w:val="00FE4F22"/>
    <w:rsid w:val="00FE5A45"/>
    <w:rsid w:val="00FE69A6"/>
    <w:rsid w:val="00FE78CD"/>
    <w:rsid w:val="00FF01D7"/>
    <w:rsid w:val="00FF0397"/>
    <w:rsid w:val="00FF096F"/>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0,0,0,0"/>
    </o:shapedefaults>
    <o:shapelayout v:ext="edit">
      <o:idmap v:ext="edit" data="2"/>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v-SE"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5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sv-SE"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sv-SE"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sv-SE"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rPr>
  </w:style>
  <w:style w:type="character" w:customStyle="1" w:styleId="ui-provider">
    <w:name w:val="ui-provider"/>
    <w:basedOn w:val="DefaultParagraphFont"/>
    <w:rsid w:val="00B145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896547248">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4.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E38025-4FD0-4278-87FD-11F2FDCC0683}">
  <ds:schemaRefs>
    <ds:schemaRef ds:uri="http://schemas.openxmlformats.org/officeDocument/2006/bibliography"/>
  </ds:schemaRefs>
</ds:datastoreItem>
</file>

<file path=customXml/itemProps2.xml><?xml version="1.0" encoding="utf-8"?>
<ds:datastoreItem xmlns:ds="http://schemas.openxmlformats.org/officeDocument/2006/customXml" ds:itemID="{68121338-5B27-4588-8ADC-122A9040177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5E08750D-20FD-479F-A75B-241E813E63F3}">
  <ds:schemaRefs>
    <ds:schemaRef ds:uri="http://schemas.microsoft.com/sharepoint/v3/contenttype/forms"/>
  </ds:schemaRefs>
</ds:datastoreItem>
</file>

<file path=customXml/itemProps4.xml><?xml version="1.0" encoding="utf-8"?>
<ds:datastoreItem xmlns:ds="http://schemas.openxmlformats.org/officeDocument/2006/customXml" ds:itemID="{C0603FF1-49C4-40AF-814B-8DCF4B85F79D}"/>
</file>

<file path=customXml/itemProps5.xml><?xml version="1.0" encoding="utf-8"?>
<ds:datastoreItem xmlns:ds="http://schemas.openxmlformats.org/officeDocument/2006/customXml" ds:itemID="{1CE63309-9C33-43A3-B40C-F645D01CCBEA}">
  <ds:schemaRefs>
    <ds:schemaRef ds:uri="http://schemas.openxmlformats.org/officeDocument/2006/bibliography"/>
  </ds:schemaRefs>
</ds:datastoreItem>
</file>

<file path=customXml/itemProps6.xml><?xml version="1.0" encoding="utf-8"?>
<ds:datastoreItem xmlns:ds="http://schemas.openxmlformats.org/officeDocument/2006/customXml" ds:itemID="{AEFB1D3A-7F75-429B-AB78-772553DAF9BC}">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74</Pages>
  <Words>19110</Words>
  <Characters>133333</Characters>
  <Application>Microsoft Office Word</Application>
  <DocSecurity>0</DocSecurity>
  <Lines>3030</Lines>
  <Paragraphs>1480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150963</CharactersWithSpaces>
  <SharedDoc>false</SharedDoc>
  <HLinks>
    <vt:vector size="96" baseType="variant">
      <vt:variant>
        <vt:i4>1835061</vt:i4>
      </vt:variant>
      <vt:variant>
        <vt:i4>92</vt:i4>
      </vt:variant>
      <vt:variant>
        <vt:i4>0</vt:i4>
      </vt:variant>
      <vt:variant>
        <vt:i4>5</vt:i4>
      </vt:variant>
      <vt:variant>
        <vt:lpwstr/>
      </vt:variant>
      <vt:variant>
        <vt:lpwstr>_Toc52461758</vt:lpwstr>
      </vt:variant>
      <vt:variant>
        <vt:i4>1245237</vt:i4>
      </vt:variant>
      <vt:variant>
        <vt:i4>86</vt:i4>
      </vt:variant>
      <vt:variant>
        <vt:i4>0</vt:i4>
      </vt:variant>
      <vt:variant>
        <vt:i4>5</vt:i4>
      </vt:variant>
      <vt:variant>
        <vt:lpwstr/>
      </vt:variant>
      <vt:variant>
        <vt:lpwstr>_Toc52461757</vt:lpwstr>
      </vt:variant>
      <vt:variant>
        <vt:i4>1179701</vt:i4>
      </vt:variant>
      <vt:variant>
        <vt:i4>80</vt:i4>
      </vt:variant>
      <vt:variant>
        <vt:i4>0</vt:i4>
      </vt:variant>
      <vt:variant>
        <vt:i4>5</vt:i4>
      </vt:variant>
      <vt:variant>
        <vt:lpwstr/>
      </vt:variant>
      <vt:variant>
        <vt:lpwstr>_Toc52461756</vt:lpwstr>
      </vt:variant>
      <vt:variant>
        <vt:i4>1114165</vt:i4>
      </vt:variant>
      <vt:variant>
        <vt:i4>74</vt:i4>
      </vt:variant>
      <vt:variant>
        <vt:i4>0</vt:i4>
      </vt:variant>
      <vt:variant>
        <vt:i4>5</vt:i4>
      </vt:variant>
      <vt:variant>
        <vt:lpwstr/>
      </vt:variant>
      <vt:variant>
        <vt:lpwstr>_Toc52461755</vt:lpwstr>
      </vt:variant>
      <vt:variant>
        <vt:i4>1048629</vt:i4>
      </vt:variant>
      <vt:variant>
        <vt:i4>68</vt:i4>
      </vt:variant>
      <vt:variant>
        <vt:i4>0</vt:i4>
      </vt:variant>
      <vt:variant>
        <vt:i4>5</vt:i4>
      </vt:variant>
      <vt:variant>
        <vt:lpwstr/>
      </vt:variant>
      <vt:variant>
        <vt:lpwstr>_Toc52461754</vt:lpwstr>
      </vt:variant>
      <vt:variant>
        <vt:i4>1507381</vt:i4>
      </vt:variant>
      <vt:variant>
        <vt:i4>62</vt:i4>
      </vt:variant>
      <vt:variant>
        <vt:i4>0</vt:i4>
      </vt:variant>
      <vt:variant>
        <vt:i4>5</vt:i4>
      </vt:variant>
      <vt:variant>
        <vt:lpwstr/>
      </vt:variant>
      <vt:variant>
        <vt:lpwstr>_Toc52461753</vt:lpwstr>
      </vt:variant>
      <vt:variant>
        <vt:i4>1441845</vt:i4>
      </vt:variant>
      <vt:variant>
        <vt:i4>56</vt:i4>
      </vt:variant>
      <vt:variant>
        <vt:i4>0</vt:i4>
      </vt:variant>
      <vt:variant>
        <vt:i4>5</vt:i4>
      </vt:variant>
      <vt:variant>
        <vt:lpwstr/>
      </vt:variant>
      <vt:variant>
        <vt:lpwstr>_Toc52461752</vt:lpwstr>
      </vt:variant>
      <vt:variant>
        <vt:i4>1376309</vt:i4>
      </vt:variant>
      <vt:variant>
        <vt:i4>50</vt:i4>
      </vt:variant>
      <vt:variant>
        <vt:i4>0</vt:i4>
      </vt:variant>
      <vt:variant>
        <vt:i4>5</vt:i4>
      </vt:variant>
      <vt:variant>
        <vt:lpwstr/>
      </vt:variant>
      <vt:variant>
        <vt:lpwstr>_Toc52461751</vt:lpwstr>
      </vt:variant>
      <vt:variant>
        <vt:i4>1310773</vt:i4>
      </vt:variant>
      <vt:variant>
        <vt:i4>44</vt:i4>
      </vt:variant>
      <vt:variant>
        <vt:i4>0</vt:i4>
      </vt:variant>
      <vt:variant>
        <vt:i4>5</vt:i4>
      </vt:variant>
      <vt:variant>
        <vt:lpwstr/>
      </vt:variant>
      <vt:variant>
        <vt:lpwstr>_Toc52461750</vt:lpwstr>
      </vt:variant>
      <vt:variant>
        <vt:i4>1900596</vt:i4>
      </vt:variant>
      <vt:variant>
        <vt:i4>38</vt:i4>
      </vt:variant>
      <vt:variant>
        <vt:i4>0</vt:i4>
      </vt:variant>
      <vt:variant>
        <vt:i4>5</vt:i4>
      </vt:variant>
      <vt:variant>
        <vt:lpwstr/>
      </vt:variant>
      <vt:variant>
        <vt:lpwstr>_Toc52461749</vt:lpwstr>
      </vt:variant>
      <vt:variant>
        <vt:i4>1835060</vt:i4>
      </vt:variant>
      <vt:variant>
        <vt:i4>32</vt:i4>
      </vt:variant>
      <vt:variant>
        <vt:i4>0</vt:i4>
      </vt:variant>
      <vt:variant>
        <vt:i4>5</vt:i4>
      </vt:variant>
      <vt:variant>
        <vt:lpwstr/>
      </vt:variant>
      <vt:variant>
        <vt:lpwstr>_Toc52461748</vt:lpwstr>
      </vt:variant>
      <vt:variant>
        <vt:i4>1245236</vt:i4>
      </vt:variant>
      <vt:variant>
        <vt:i4>26</vt:i4>
      </vt:variant>
      <vt:variant>
        <vt:i4>0</vt:i4>
      </vt:variant>
      <vt:variant>
        <vt:i4>5</vt:i4>
      </vt:variant>
      <vt:variant>
        <vt:lpwstr/>
      </vt:variant>
      <vt:variant>
        <vt:lpwstr>_Toc52461747</vt:lpwstr>
      </vt:variant>
      <vt:variant>
        <vt:i4>1179700</vt:i4>
      </vt:variant>
      <vt:variant>
        <vt:i4>20</vt:i4>
      </vt:variant>
      <vt:variant>
        <vt:i4>0</vt:i4>
      </vt:variant>
      <vt:variant>
        <vt:i4>5</vt:i4>
      </vt:variant>
      <vt:variant>
        <vt:lpwstr/>
      </vt:variant>
      <vt:variant>
        <vt:lpwstr>_Toc52461746</vt:lpwstr>
      </vt:variant>
      <vt:variant>
        <vt:i4>1114164</vt:i4>
      </vt:variant>
      <vt:variant>
        <vt:i4>14</vt:i4>
      </vt:variant>
      <vt:variant>
        <vt:i4>0</vt:i4>
      </vt:variant>
      <vt:variant>
        <vt:i4>5</vt:i4>
      </vt:variant>
      <vt:variant>
        <vt:lpwstr/>
      </vt:variant>
      <vt:variant>
        <vt:lpwstr>_Toc52461745</vt:lpwstr>
      </vt:variant>
      <vt:variant>
        <vt:i4>1048628</vt:i4>
      </vt:variant>
      <vt:variant>
        <vt:i4>8</vt:i4>
      </vt:variant>
      <vt:variant>
        <vt:i4>0</vt:i4>
      </vt:variant>
      <vt:variant>
        <vt:i4>5</vt:i4>
      </vt:variant>
      <vt:variant>
        <vt:lpwstr/>
      </vt:variant>
      <vt:variant>
        <vt:lpwstr>_Toc52461744</vt:lpwstr>
      </vt:variant>
      <vt:variant>
        <vt:i4>1507380</vt:i4>
      </vt:variant>
      <vt:variant>
        <vt:i4>2</vt:i4>
      </vt:variant>
      <vt:variant>
        <vt:i4>0</vt:i4>
      </vt:variant>
      <vt:variant>
        <vt:i4>5</vt:i4>
      </vt:variant>
      <vt:variant>
        <vt:lpwstr/>
      </vt:variant>
      <vt:variant>
        <vt:lpwstr>_Toc52461743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2024-06-19T19:55:00Z</dcterms:created>
  <dcterms:modified xsi:type="dcterms:W3CDTF">2025-01-22T13:56:00Z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41badce7,1d2f1552,1dc33b2e,10f4dfb6,50263a1b,373719cd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2025-01-22T13:56:40Z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43067ceb-8a87-451c-bb80-65ec5264770c</vt:lpwstr>
  </property>
  <property fmtid="{D5CDD505-2E9C-101B-9397-08002B2CF9AE}" pid="12" name="MSIP_Label_6bd9ddd1-4d20-43f6-abfa-fc3c07406f94_ContentBits">
    <vt:lpwstr>0</vt:lpwstr>
  </property>
</Properties>
</file>